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C5" w:rsidRPr="003A3D7C" w:rsidRDefault="00A51AC5" w:rsidP="00A51AC5">
      <w:pPr>
        <w:pStyle w:val="Heading1"/>
        <w:tabs>
          <w:tab w:val="left" w:pos="1985"/>
        </w:tabs>
        <w:ind w:left="141" w:hanging="141"/>
        <w:rPr>
          <w:rFonts w:asciiTheme="minorHAnsi" w:hAnsiTheme="minorHAnsi"/>
          <w:b w:val="0"/>
          <w:bCs/>
          <w:i/>
          <w:smallCaps w:val="0"/>
          <w:sz w:val="16"/>
          <w:szCs w:val="24"/>
        </w:rPr>
      </w:pPr>
      <w:r w:rsidRPr="003A3D7C">
        <w:rPr>
          <w:rFonts w:asciiTheme="minorHAnsi" w:hAnsiTheme="minorHAnsi"/>
          <w:b w:val="0"/>
          <w:i/>
          <w:smallCaps w:val="0"/>
          <w:sz w:val="20"/>
          <w:szCs w:val="24"/>
        </w:rPr>
        <w:t>Books</w:t>
      </w:r>
    </w:p>
    <w:p w:rsidR="00A51AC5" w:rsidRPr="003A3D7C" w:rsidRDefault="00A51AC5" w:rsidP="00A51AC5">
      <w:pPr>
        <w:tabs>
          <w:tab w:val="left" w:pos="426"/>
          <w:tab w:val="left" w:pos="709"/>
          <w:tab w:val="left" w:pos="1560"/>
          <w:tab w:val="left" w:pos="1985"/>
          <w:tab w:val="left" w:pos="2268"/>
          <w:tab w:val="left" w:pos="2835"/>
          <w:tab w:val="left" w:pos="3261"/>
          <w:tab w:val="left" w:pos="3686"/>
        </w:tabs>
        <w:ind w:left="709" w:hanging="425"/>
        <w:rPr>
          <w:rFonts w:asciiTheme="minorHAnsi" w:hAnsiTheme="minorHAnsi"/>
          <w:b/>
          <w:bCs/>
          <w:sz w:val="20"/>
        </w:rPr>
      </w:pPr>
    </w:p>
    <w:p w:rsidR="00A51AC5" w:rsidRPr="003A3D7C" w:rsidRDefault="00A51AC5" w:rsidP="00A51AC5">
      <w:pPr>
        <w:numPr>
          <w:ilvl w:val="0"/>
          <w:numId w:val="2"/>
        </w:numPr>
        <w:tabs>
          <w:tab w:val="clear" w:pos="2138"/>
          <w:tab w:val="num" w:pos="993"/>
        </w:tabs>
        <w:ind w:left="993"/>
        <w:rPr>
          <w:rFonts w:asciiTheme="minorHAnsi" w:hAnsiTheme="minorHAnsi"/>
          <w:bCs/>
          <w:sz w:val="20"/>
        </w:rPr>
      </w:pPr>
      <w:r w:rsidRPr="003A3D7C">
        <w:rPr>
          <w:rFonts w:asciiTheme="minorHAnsi" w:hAnsiTheme="minorHAnsi"/>
          <w:bCs/>
          <w:i/>
          <w:sz w:val="20"/>
        </w:rPr>
        <w:t xml:space="preserve">A Commentary on Ovid’s </w:t>
      </w:r>
      <w:r w:rsidRPr="003A3D7C">
        <w:rPr>
          <w:rFonts w:asciiTheme="minorHAnsi" w:hAnsiTheme="minorHAnsi"/>
          <w:bCs/>
          <w:sz w:val="20"/>
        </w:rPr>
        <w:t>Fasti</w:t>
      </w:r>
      <w:r w:rsidRPr="003A3D7C">
        <w:rPr>
          <w:rFonts w:asciiTheme="minorHAnsi" w:hAnsiTheme="minorHAnsi"/>
          <w:bCs/>
          <w:i/>
          <w:sz w:val="20"/>
        </w:rPr>
        <w:t xml:space="preserve">, Book 2 </w:t>
      </w:r>
      <w:r w:rsidRPr="003A3D7C">
        <w:rPr>
          <w:rFonts w:asciiTheme="minorHAnsi" w:hAnsiTheme="minorHAnsi"/>
          <w:bCs/>
          <w:sz w:val="20"/>
        </w:rPr>
        <w:t>(OUP, 2010), 572 pp.</w:t>
      </w:r>
    </w:p>
    <w:p w:rsidR="00A51AC5" w:rsidRPr="003A3D7C" w:rsidRDefault="00A51AC5" w:rsidP="00A51AC5">
      <w:pPr>
        <w:ind w:left="284"/>
        <w:rPr>
          <w:rFonts w:asciiTheme="minorHAnsi" w:hAnsiTheme="minorHAnsi"/>
          <w:bCs/>
          <w:sz w:val="20"/>
        </w:rPr>
      </w:pPr>
    </w:p>
    <w:p w:rsidR="00A51AC5" w:rsidRPr="003A3D7C" w:rsidRDefault="00A51AC5" w:rsidP="00A51AC5">
      <w:pPr>
        <w:pStyle w:val="Heading1"/>
        <w:tabs>
          <w:tab w:val="left" w:pos="1985"/>
        </w:tabs>
        <w:ind w:left="141" w:hanging="141"/>
        <w:rPr>
          <w:rFonts w:asciiTheme="minorHAnsi" w:hAnsiTheme="minorHAnsi"/>
          <w:b w:val="0"/>
          <w:bCs/>
          <w:i/>
          <w:smallCaps w:val="0"/>
          <w:sz w:val="16"/>
          <w:szCs w:val="24"/>
        </w:rPr>
      </w:pPr>
      <w:r w:rsidRPr="003A3D7C">
        <w:rPr>
          <w:rFonts w:asciiTheme="minorHAnsi" w:hAnsiTheme="minorHAnsi"/>
          <w:b w:val="0"/>
          <w:i/>
          <w:smallCaps w:val="0"/>
          <w:sz w:val="20"/>
          <w:szCs w:val="24"/>
        </w:rPr>
        <w:tab/>
      </w:r>
      <w:r w:rsidRPr="003A3D7C">
        <w:rPr>
          <w:rFonts w:asciiTheme="minorHAnsi" w:hAnsiTheme="minorHAnsi"/>
          <w:b w:val="0"/>
          <w:i/>
          <w:smallCaps w:val="0"/>
          <w:sz w:val="20"/>
          <w:szCs w:val="24"/>
        </w:rPr>
        <w:tab/>
        <w:t xml:space="preserve"> Articles</w:t>
      </w:r>
    </w:p>
    <w:p w:rsidR="00A51AC5" w:rsidRPr="003A3D7C" w:rsidRDefault="00A51AC5" w:rsidP="00A51AC5">
      <w:pPr>
        <w:ind w:left="284"/>
        <w:rPr>
          <w:rFonts w:asciiTheme="minorHAnsi" w:hAnsiTheme="minorHAnsi"/>
          <w:b/>
          <w:bCs/>
          <w:sz w:val="20"/>
        </w:rPr>
      </w:pPr>
    </w:p>
    <w:p w:rsidR="00A51AC5" w:rsidRDefault="00A51AC5" w:rsidP="00A51AC5">
      <w:pPr>
        <w:numPr>
          <w:ilvl w:val="0"/>
          <w:numId w:val="1"/>
        </w:numPr>
        <w:tabs>
          <w:tab w:val="clear" w:pos="2127"/>
          <w:tab w:val="num" w:pos="993"/>
        </w:tabs>
        <w:ind w:left="993"/>
        <w:rPr>
          <w:rFonts w:asciiTheme="minorHAnsi" w:hAnsiTheme="minorHAnsi"/>
          <w:sz w:val="20"/>
        </w:rPr>
      </w:pPr>
      <w:r w:rsidRPr="00527DA3">
        <w:rPr>
          <w:rFonts w:asciiTheme="minorHAnsi" w:hAnsiTheme="minorHAnsi"/>
          <w:sz w:val="20"/>
        </w:rPr>
        <w:t xml:space="preserve">‘Arms and a Mouse: Approach Acrostics in Ovid and Vergil’, </w:t>
      </w:r>
      <w:r w:rsidR="00DF67D5">
        <w:rPr>
          <w:rFonts w:asciiTheme="minorHAnsi" w:hAnsiTheme="minorHAnsi"/>
          <w:i/>
          <w:sz w:val="20"/>
        </w:rPr>
        <w:t>Materiali e Discussioni</w:t>
      </w:r>
      <w:r w:rsidRPr="00527DA3">
        <w:rPr>
          <w:rFonts w:asciiTheme="minorHAnsi" w:hAnsiTheme="minorHAnsi"/>
          <w:sz w:val="20"/>
        </w:rPr>
        <w:t xml:space="preserve"> </w:t>
      </w:r>
      <w:r w:rsidR="00DF67D5">
        <w:rPr>
          <w:rFonts w:asciiTheme="minorHAnsi" w:hAnsiTheme="minorHAnsi"/>
          <w:sz w:val="20"/>
        </w:rPr>
        <w:t>(</w:t>
      </w:r>
      <w:r w:rsidRPr="00527DA3">
        <w:rPr>
          <w:rFonts w:asciiTheme="minorHAnsi" w:hAnsiTheme="minorHAnsi"/>
          <w:sz w:val="20"/>
        </w:rPr>
        <w:t>forthcoming</w:t>
      </w:r>
      <w:r w:rsidR="00DF67D5">
        <w:rPr>
          <w:rFonts w:asciiTheme="minorHAnsi" w:hAnsiTheme="minorHAnsi"/>
          <w:sz w:val="20"/>
        </w:rPr>
        <w:t>)</w:t>
      </w:r>
      <w:bookmarkStart w:id="0" w:name="_GoBack"/>
      <w:bookmarkEnd w:id="0"/>
    </w:p>
    <w:p w:rsidR="00A51AC5" w:rsidRDefault="00A51AC5" w:rsidP="00A51AC5">
      <w:pPr>
        <w:numPr>
          <w:ilvl w:val="0"/>
          <w:numId w:val="1"/>
        </w:numPr>
        <w:tabs>
          <w:tab w:val="clear" w:pos="2127"/>
        </w:tabs>
        <w:ind w:left="993"/>
        <w:rPr>
          <w:rFonts w:asciiTheme="minorHAnsi" w:hAnsiTheme="minorHAnsi"/>
          <w:sz w:val="20"/>
        </w:rPr>
      </w:pPr>
      <w:r w:rsidRPr="00527DA3">
        <w:rPr>
          <w:rFonts w:asciiTheme="minorHAnsi" w:hAnsiTheme="minorHAnsi"/>
          <w:sz w:val="20"/>
        </w:rPr>
        <w:t xml:space="preserve">‘Further echoes of Vergil's </w:t>
      </w:r>
      <w:r w:rsidRPr="00527DA3">
        <w:rPr>
          <w:rFonts w:asciiTheme="minorHAnsi" w:hAnsiTheme="minorHAnsi"/>
          <w:i/>
          <w:sz w:val="20"/>
        </w:rPr>
        <w:t>Aeneid</w:t>
      </w:r>
      <w:r w:rsidRPr="00527DA3">
        <w:rPr>
          <w:rFonts w:asciiTheme="minorHAnsi" w:hAnsiTheme="minorHAnsi"/>
          <w:sz w:val="20"/>
        </w:rPr>
        <w:t xml:space="preserve"> in Felix's </w:t>
      </w:r>
      <w:r w:rsidRPr="00527DA3">
        <w:rPr>
          <w:rFonts w:asciiTheme="minorHAnsi" w:hAnsiTheme="minorHAnsi"/>
          <w:i/>
          <w:sz w:val="20"/>
        </w:rPr>
        <w:t>Vita sancti Guthlaci</w:t>
      </w:r>
      <w:r w:rsidRPr="00527DA3">
        <w:rPr>
          <w:rFonts w:asciiTheme="minorHAnsi" w:hAnsiTheme="minorHAnsi"/>
          <w:sz w:val="20"/>
        </w:rPr>
        <w:t xml:space="preserve">’, </w:t>
      </w:r>
      <w:r w:rsidRPr="00527DA3">
        <w:rPr>
          <w:rFonts w:asciiTheme="minorHAnsi" w:hAnsiTheme="minorHAnsi"/>
          <w:i/>
          <w:sz w:val="20"/>
        </w:rPr>
        <w:t>Notes and Queries</w:t>
      </w:r>
      <w:r w:rsidRPr="00527DA3">
        <w:rPr>
          <w:rFonts w:asciiTheme="minorHAnsi" w:hAnsiTheme="minorHAnsi"/>
          <w:sz w:val="20"/>
        </w:rPr>
        <w:t xml:space="preserve"> 64.3, 353–355 (with Helen Appleton)</w:t>
      </w:r>
    </w:p>
    <w:p w:rsidR="00A51AC5" w:rsidRPr="003A3D7C" w:rsidRDefault="00A51AC5" w:rsidP="00A51AC5">
      <w:pPr>
        <w:numPr>
          <w:ilvl w:val="0"/>
          <w:numId w:val="1"/>
        </w:numPr>
        <w:tabs>
          <w:tab w:val="clear" w:pos="2127"/>
          <w:tab w:val="num" w:pos="993"/>
        </w:tabs>
        <w:ind w:left="993"/>
        <w:rPr>
          <w:rFonts w:asciiTheme="minorHAnsi" w:hAnsiTheme="minorHAnsi"/>
          <w:sz w:val="20"/>
        </w:rPr>
      </w:pPr>
      <w:r w:rsidRPr="003A3D7C">
        <w:rPr>
          <w:rFonts w:asciiTheme="minorHAnsi" w:hAnsiTheme="minorHAnsi"/>
          <w:sz w:val="20"/>
        </w:rPr>
        <w:t xml:space="preserve">‘Ovid and the </w:t>
      </w:r>
      <w:r w:rsidRPr="003A3D7C">
        <w:rPr>
          <w:rFonts w:asciiTheme="minorHAnsi" w:hAnsiTheme="minorHAnsi"/>
          <w:i/>
          <w:sz w:val="20"/>
        </w:rPr>
        <w:t>Catasterismi</w:t>
      </w:r>
      <w:r w:rsidRPr="003A3D7C">
        <w:rPr>
          <w:rFonts w:asciiTheme="minorHAnsi" w:hAnsiTheme="minorHAnsi"/>
          <w:sz w:val="20"/>
        </w:rPr>
        <w:t xml:space="preserve"> of Eratosthenes’, </w:t>
      </w:r>
      <w:r w:rsidRPr="003A3D7C">
        <w:rPr>
          <w:rFonts w:asciiTheme="minorHAnsi" w:hAnsiTheme="minorHAnsi"/>
          <w:i/>
          <w:sz w:val="20"/>
        </w:rPr>
        <w:t>AJPh</w:t>
      </w:r>
      <w:r w:rsidRPr="003A3D7C">
        <w:rPr>
          <w:rFonts w:asciiTheme="minorHAnsi" w:hAnsiTheme="minorHAnsi"/>
          <w:sz w:val="20"/>
        </w:rPr>
        <w:t xml:space="preserve"> 134 (2013), 445-480</w:t>
      </w:r>
    </w:p>
    <w:p w:rsidR="00A51AC5" w:rsidRPr="003A3D7C" w:rsidRDefault="00A51AC5" w:rsidP="00A51AC5">
      <w:pPr>
        <w:numPr>
          <w:ilvl w:val="0"/>
          <w:numId w:val="1"/>
        </w:numPr>
        <w:tabs>
          <w:tab w:val="clear" w:pos="2127"/>
          <w:tab w:val="num" w:pos="993"/>
        </w:tabs>
        <w:ind w:left="993"/>
        <w:rPr>
          <w:rFonts w:asciiTheme="minorHAnsi" w:hAnsiTheme="minorHAnsi"/>
          <w:sz w:val="20"/>
        </w:rPr>
      </w:pPr>
      <w:r w:rsidRPr="003A3D7C">
        <w:rPr>
          <w:rFonts w:asciiTheme="minorHAnsi" w:hAnsiTheme="minorHAnsi"/>
          <w:sz w:val="20"/>
        </w:rPr>
        <w:t>‘Propertius 1.3: Sleep, Surprise and Catullus 64’, BICS 56 (2013), 89-115</w:t>
      </w:r>
    </w:p>
    <w:p w:rsidR="00A51AC5" w:rsidRPr="003A3D7C" w:rsidRDefault="00A51AC5" w:rsidP="00A51AC5">
      <w:pPr>
        <w:numPr>
          <w:ilvl w:val="0"/>
          <w:numId w:val="1"/>
        </w:numPr>
        <w:tabs>
          <w:tab w:val="clear" w:pos="2127"/>
          <w:tab w:val="num" w:pos="993"/>
          <w:tab w:val="left" w:pos="1134"/>
        </w:tabs>
        <w:ind w:left="1276" w:hanging="567"/>
        <w:rPr>
          <w:rFonts w:asciiTheme="minorHAnsi" w:hAnsiTheme="minorHAnsi"/>
          <w:sz w:val="20"/>
        </w:rPr>
      </w:pPr>
      <w:r w:rsidRPr="003A3D7C">
        <w:rPr>
          <w:rFonts w:asciiTheme="minorHAnsi" w:hAnsiTheme="minorHAnsi"/>
          <w:sz w:val="20"/>
        </w:rPr>
        <w:t>‘</w:t>
      </w:r>
      <w:r w:rsidRPr="003A3D7C">
        <w:rPr>
          <w:rFonts w:asciiTheme="minorHAnsi" w:hAnsiTheme="minorHAnsi"/>
          <w:i/>
          <w:sz w:val="20"/>
        </w:rPr>
        <w:t>Ardua et Astra</w:t>
      </w:r>
      <w:r w:rsidRPr="003A3D7C">
        <w:rPr>
          <w:rFonts w:asciiTheme="minorHAnsi" w:hAnsiTheme="minorHAnsi"/>
          <w:sz w:val="20"/>
        </w:rPr>
        <w:t xml:space="preserve">:  On the Calculation of the Dates of the Rising and Setting of Stars’, </w:t>
      </w:r>
      <w:r w:rsidRPr="003A3D7C">
        <w:rPr>
          <w:rStyle w:val="Emphasis"/>
          <w:rFonts w:asciiTheme="minorHAnsi" w:hAnsiTheme="minorHAnsi"/>
          <w:sz w:val="20"/>
        </w:rPr>
        <w:t xml:space="preserve">Classical Philology </w:t>
      </w:r>
      <w:r w:rsidRPr="003A3D7C">
        <w:rPr>
          <w:rFonts w:asciiTheme="minorHAnsi" w:hAnsiTheme="minorHAnsi"/>
          <w:sz w:val="20"/>
        </w:rPr>
        <w:t xml:space="preserve">104 (2009), pp. 354-375 </w:t>
      </w:r>
    </w:p>
    <w:p w:rsidR="00A51AC5" w:rsidRPr="003A3D7C" w:rsidRDefault="00A51AC5" w:rsidP="00A51AC5">
      <w:pPr>
        <w:numPr>
          <w:ilvl w:val="0"/>
          <w:numId w:val="1"/>
        </w:numPr>
        <w:tabs>
          <w:tab w:val="clear" w:pos="2127"/>
          <w:tab w:val="num" w:pos="993"/>
          <w:tab w:val="left" w:pos="1134"/>
        </w:tabs>
        <w:ind w:left="1276" w:hanging="567"/>
        <w:rPr>
          <w:rFonts w:asciiTheme="minorHAnsi" w:hAnsiTheme="minorHAnsi"/>
          <w:sz w:val="20"/>
        </w:rPr>
      </w:pPr>
      <w:r w:rsidRPr="003A3D7C">
        <w:rPr>
          <w:rFonts w:asciiTheme="minorHAnsi" w:hAnsiTheme="minorHAnsi"/>
          <w:sz w:val="20"/>
        </w:rPr>
        <w:t xml:space="preserve">‘Ovid, the </w:t>
      </w:r>
      <w:r w:rsidRPr="003A3D7C">
        <w:rPr>
          <w:rFonts w:asciiTheme="minorHAnsi" w:hAnsiTheme="minorHAnsi"/>
          <w:i/>
          <w:sz w:val="20"/>
        </w:rPr>
        <w:t>Fasti</w:t>
      </w:r>
      <w:r w:rsidRPr="003A3D7C">
        <w:rPr>
          <w:rFonts w:asciiTheme="minorHAnsi" w:hAnsiTheme="minorHAnsi"/>
          <w:sz w:val="20"/>
        </w:rPr>
        <w:t xml:space="preserve"> and the Stars’, </w:t>
      </w:r>
      <w:r w:rsidRPr="003A3D7C">
        <w:rPr>
          <w:rStyle w:val="Emphasis"/>
          <w:rFonts w:asciiTheme="minorHAnsi" w:hAnsiTheme="minorHAnsi"/>
          <w:sz w:val="20"/>
        </w:rPr>
        <w:t xml:space="preserve">Bulletin of the Institute of Classical Studies </w:t>
      </w:r>
      <w:r w:rsidRPr="003A3D7C">
        <w:rPr>
          <w:rFonts w:asciiTheme="minorHAnsi" w:hAnsiTheme="minorHAnsi"/>
          <w:sz w:val="20"/>
        </w:rPr>
        <w:t xml:space="preserve">50 (2007), pp. 129-59 </w:t>
      </w:r>
    </w:p>
    <w:p w:rsidR="00A51AC5" w:rsidRPr="003A3D7C" w:rsidRDefault="00A51AC5" w:rsidP="00A51AC5">
      <w:pPr>
        <w:numPr>
          <w:ilvl w:val="0"/>
          <w:numId w:val="1"/>
        </w:numPr>
        <w:tabs>
          <w:tab w:val="clear" w:pos="2127"/>
          <w:tab w:val="num" w:pos="993"/>
          <w:tab w:val="left" w:pos="1134"/>
        </w:tabs>
        <w:ind w:left="1276" w:hanging="567"/>
        <w:rPr>
          <w:rFonts w:asciiTheme="minorHAnsi" w:hAnsiTheme="minorHAnsi"/>
          <w:sz w:val="20"/>
        </w:rPr>
      </w:pPr>
      <w:r w:rsidRPr="003A3D7C">
        <w:rPr>
          <w:rFonts w:asciiTheme="minorHAnsi" w:hAnsiTheme="minorHAnsi"/>
          <w:sz w:val="20"/>
        </w:rPr>
        <w:t xml:space="preserve">‘Festivals, Fools and the </w:t>
      </w:r>
      <w:r w:rsidRPr="003A3D7C">
        <w:rPr>
          <w:rFonts w:asciiTheme="minorHAnsi" w:hAnsiTheme="minorHAnsi"/>
          <w:i/>
          <w:sz w:val="20"/>
        </w:rPr>
        <w:t>Fasti</w:t>
      </w:r>
      <w:r w:rsidRPr="003A3D7C">
        <w:rPr>
          <w:rFonts w:asciiTheme="minorHAnsi" w:hAnsiTheme="minorHAnsi"/>
          <w:sz w:val="20"/>
        </w:rPr>
        <w:t xml:space="preserve">: The Quirinalia and the </w:t>
      </w:r>
      <w:r w:rsidRPr="003A3D7C">
        <w:rPr>
          <w:rFonts w:asciiTheme="minorHAnsi" w:hAnsiTheme="minorHAnsi"/>
          <w:i/>
          <w:sz w:val="20"/>
        </w:rPr>
        <w:t>Feriae Stultorum</w:t>
      </w:r>
      <w:r w:rsidRPr="003A3D7C">
        <w:rPr>
          <w:rFonts w:asciiTheme="minorHAnsi" w:hAnsiTheme="minorHAnsi"/>
          <w:sz w:val="20"/>
        </w:rPr>
        <w:t xml:space="preserve"> (Ovid, </w:t>
      </w:r>
      <w:r w:rsidRPr="003A3D7C">
        <w:rPr>
          <w:rFonts w:asciiTheme="minorHAnsi" w:hAnsiTheme="minorHAnsi"/>
          <w:i/>
          <w:sz w:val="20"/>
        </w:rPr>
        <w:t>Fast</w:t>
      </w:r>
      <w:r w:rsidRPr="003A3D7C">
        <w:rPr>
          <w:rFonts w:asciiTheme="minorHAnsi" w:hAnsiTheme="minorHAnsi"/>
          <w:sz w:val="20"/>
        </w:rPr>
        <w:t xml:space="preserve">. 2.475-532)’, </w:t>
      </w:r>
      <w:r w:rsidRPr="003A3D7C">
        <w:rPr>
          <w:rFonts w:asciiTheme="minorHAnsi" w:hAnsiTheme="minorHAnsi"/>
          <w:i/>
          <w:sz w:val="20"/>
        </w:rPr>
        <w:t>Aevum Antiquum</w:t>
      </w:r>
      <w:r w:rsidRPr="003A3D7C">
        <w:rPr>
          <w:rFonts w:asciiTheme="minorHAnsi" w:hAnsiTheme="minorHAnsi"/>
          <w:sz w:val="20"/>
        </w:rPr>
        <w:t xml:space="preserve"> 3 (2003), pp. 609–21</w:t>
      </w:r>
    </w:p>
    <w:p w:rsidR="00A51AC5" w:rsidRPr="003A3D7C" w:rsidRDefault="00A51AC5" w:rsidP="00A51AC5">
      <w:pPr>
        <w:numPr>
          <w:ilvl w:val="0"/>
          <w:numId w:val="1"/>
        </w:numPr>
        <w:tabs>
          <w:tab w:val="clear" w:pos="2127"/>
          <w:tab w:val="num" w:pos="993"/>
        </w:tabs>
        <w:ind w:left="1276" w:hanging="567"/>
        <w:rPr>
          <w:rFonts w:asciiTheme="minorHAnsi" w:hAnsiTheme="minorHAnsi"/>
          <w:b/>
          <w:bCs/>
          <w:sz w:val="20"/>
        </w:rPr>
      </w:pPr>
      <w:r w:rsidRPr="003A3D7C">
        <w:rPr>
          <w:rFonts w:asciiTheme="minorHAnsi" w:hAnsiTheme="minorHAnsi"/>
          <w:sz w:val="20"/>
        </w:rPr>
        <w:t xml:space="preserve">‘Salmacis and Hermaphroditus: when two become one (Ovid </w:t>
      </w:r>
      <w:r w:rsidRPr="003A3D7C">
        <w:rPr>
          <w:rFonts w:asciiTheme="minorHAnsi" w:hAnsiTheme="minorHAnsi"/>
          <w:i/>
          <w:iCs/>
          <w:sz w:val="20"/>
        </w:rPr>
        <w:t>Met.</w:t>
      </w:r>
      <w:r w:rsidRPr="003A3D7C">
        <w:rPr>
          <w:rFonts w:asciiTheme="minorHAnsi" w:hAnsiTheme="minorHAnsi"/>
          <w:sz w:val="20"/>
        </w:rPr>
        <w:t xml:space="preserve"> 4.285–388)’, </w:t>
      </w:r>
      <w:r w:rsidRPr="003A3D7C">
        <w:rPr>
          <w:rFonts w:asciiTheme="minorHAnsi" w:hAnsiTheme="minorHAnsi"/>
          <w:i/>
          <w:sz w:val="20"/>
        </w:rPr>
        <w:t>Classical Quarterly</w:t>
      </w:r>
      <w:r w:rsidRPr="003A3D7C">
        <w:rPr>
          <w:rFonts w:asciiTheme="minorHAnsi" w:hAnsiTheme="minorHAnsi"/>
          <w:sz w:val="20"/>
        </w:rPr>
        <w:t xml:space="preserve"> 49 (1999), pp. 212–23</w:t>
      </w:r>
    </w:p>
    <w:p w:rsidR="00A51AC5" w:rsidRPr="003A3D7C" w:rsidRDefault="00A51AC5" w:rsidP="00A51AC5">
      <w:pPr>
        <w:rPr>
          <w:rFonts w:asciiTheme="minorHAnsi" w:hAnsiTheme="minorHAnsi"/>
        </w:rPr>
      </w:pPr>
    </w:p>
    <w:p w:rsidR="00A51AC5" w:rsidRPr="003A3D7C" w:rsidRDefault="00A51AC5" w:rsidP="00A51AC5">
      <w:pPr>
        <w:pStyle w:val="Heading1"/>
        <w:tabs>
          <w:tab w:val="left" w:pos="1985"/>
        </w:tabs>
        <w:ind w:left="141" w:hanging="141"/>
        <w:rPr>
          <w:rFonts w:asciiTheme="minorHAnsi" w:hAnsiTheme="minorHAnsi"/>
          <w:b w:val="0"/>
          <w:bCs/>
          <w:i/>
          <w:smallCaps w:val="0"/>
          <w:sz w:val="16"/>
          <w:szCs w:val="24"/>
        </w:rPr>
      </w:pPr>
      <w:r w:rsidRPr="003A3D7C">
        <w:rPr>
          <w:rFonts w:asciiTheme="minorHAnsi" w:hAnsiTheme="minorHAnsi"/>
          <w:b w:val="0"/>
          <w:i/>
          <w:smallCaps w:val="0"/>
          <w:sz w:val="20"/>
          <w:szCs w:val="24"/>
        </w:rPr>
        <w:tab/>
      </w:r>
      <w:r w:rsidRPr="003A3D7C">
        <w:rPr>
          <w:rFonts w:asciiTheme="minorHAnsi" w:hAnsiTheme="minorHAnsi"/>
          <w:b w:val="0"/>
          <w:i/>
          <w:smallCaps w:val="0"/>
          <w:sz w:val="20"/>
          <w:szCs w:val="24"/>
        </w:rPr>
        <w:tab/>
        <w:t>Book Sections</w:t>
      </w:r>
    </w:p>
    <w:p w:rsidR="00A51AC5" w:rsidRPr="003A3D7C" w:rsidRDefault="00A51AC5" w:rsidP="00A51AC5">
      <w:pPr>
        <w:rPr>
          <w:rFonts w:asciiTheme="minorHAnsi" w:hAnsiTheme="minorHAnsi"/>
        </w:rPr>
      </w:pPr>
    </w:p>
    <w:p w:rsidR="00A51AC5" w:rsidRPr="003A3D7C" w:rsidRDefault="00A51AC5" w:rsidP="00A51AC5">
      <w:pPr>
        <w:numPr>
          <w:ilvl w:val="0"/>
          <w:numId w:val="3"/>
        </w:numPr>
        <w:tabs>
          <w:tab w:val="clear" w:pos="2127"/>
          <w:tab w:val="num" w:pos="993"/>
          <w:tab w:val="left" w:pos="1134"/>
        </w:tabs>
        <w:ind w:left="993"/>
        <w:rPr>
          <w:rFonts w:asciiTheme="minorHAnsi" w:hAnsiTheme="minorHAnsi"/>
          <w:sz w:val="20"/>
        </w:rPr>
      </w:pPr>
      <w:r w:rsidRPr="003A3D7C">
        <w:rPr>
          <w:rFonts w:asciiTheme="minorHAnsi" w:hAnsiTheme="minorHAnsi"/>
          <w:sz w:val="20"/>
        </w:rPr>
        <w:t xml:space="preserve">‘Augustan Responses to Virgil’ in Lyne, Currie, Clarke (eds), </w:t>
      </w:r>
      <w:r w:rsidRPr="003A3D7C">
        <w:rPr>
          <w:rStyle w:val="Emphasis"/>
          <w:rFonts w:asciiTheme="minorHAnsi" w:hAnsiTheme="minorHAnsi"/>
          <w:sz w:val="20"/>
        </w:rPr>
        <w:t>Epic Interactions</w:t>
      </w:r>
      <w:r w:rsidRPr="003A3D7C">
        <w:rPr>
          <w:rFonts w:asciiTheme="minorHAnsi" w:hAnsiTheme="minorHAnsi"/>
          <w:sz w:val="20"/>
        </w:rPr>
        <w:t xml:space="preserve"> (OUP, 2006), pp. 185-216</w:t>
      </w:r>
    </w:p>
    <w:p w:rsidR="00A5008B" w:rsidRDefault="00DF67D5"/>
    <w:sectPr w:rsidR="00A5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02178"/>
    <w:multiLevelType w:val="hybridMultilevel"/>
    <w:tmpl w:val="7682E04C"/>
    <w:lvl w:ilvl="0" w:tplc="E8F484F4">
      <w:start w:val="1"/>
      <w:numFmt w:val="bullet"/>
      <w:lvlText w:val=""/>
      <w:lvlJc w:val="left"/>
      <w:pPr>
        <w:tabs>
          <w:tab w:val="num" w:pos="2138"/>
        </w:tabs>
        <w:ind w:left="213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066F7"/>
    <w:multiLevelType w:val="hybridMultilevel"/>
    <w:tmpl w:val="C5E68026"/>
    <w:lvl w:ilvl="0" w:tplc="E8F484F4">
      <w:start w:val="1"/>
      <w:numFmt w:val="bullet"/>
      <w:lvlText w:val=""/>
      <w:lvlJc w:val="left"/>
      <w:pPr>
        <w:tabs>
          <w:tab w:val="num" w:pos="2127"/>
        </w:tabs>
        <w:ind w:left="212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A3033D"/>
    <w:multiLevelType w:val="hybridMultilevel"/>
    <w:tmpl w:val="E2A801D4"/>
    <w:lvl w:ilvl="0" w:tplc="E8F484F4">
      <w:start w:val="1"/>
      <w:numFmt w:val="bullet"/>
      <w:lvlText w:val=""/>
      <w:lvlJc w:val="left"/>
      <w:pPr>
        <w:tabs>
          <w:tab w:val="num" w:pos="2127"/>
        </w:tabs>
        <w:ind w:left="212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C5"/>
    <w:rsid w:val="00064F5E"/>
    <w:rsid w:val="00275D05"/>
    <w:rsid w:val="003B1889"/>
    <w:rsid w:val="004559B2"/>
    <w:rsid w:val="005933A8"/>
    <w:rsid w:val="005C5166"/>
    <w:rsid w:val="005D2604"/>
    <w:rsid w:val="0060214C"/>
    <w:rsid w:val="00632E44"/>
    <w:rsid w:val="006B5E3D"/>
    <w:rsid w:val="007A6CC8"/>
    <w:rsid w:val="008D627C"/>
    <w:rsid w:val="009226A1"/>
    <w:rsid w:val="009B1772"/>
    <w:rsid w:val="00A51AC5"/>
    <w:rsid w:val="00B11D80"/>
    <w:rsid w:val="00B83670"/>
    <w:rsid w:val="00BC42A4"/>
    <w:rsid w:val="00BD12AB"/>
    <w:rsid w:val="00D74D74"/>
    <w:rsid w:val="00DF1C74"/>
    <w:rsid w:val="00DF67D5"/>
    <w:rsid w:val="00E97E5D"/>
    <w:rsid w:val="00EF58B7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757D"/>
  <w15:chartTrackingRefBased/>
  <w15:docId w15:val="{2B90BC12-C783-44DE-8276-003721A7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AC5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1AC5"/>
    <w:pPr>
      <w:keepNext/>
      <w:tabs>
        <w:tab w:val="left" w:pos="426"/>
        <w:tab w:val="left" w:pos="709"/>
        <w:tab w:val="left" w:pos="1560"/>
        <w:tab w:val="left" w:pos="2835"/>
        <w:tab w:val="left" w:pos="3261"/>
        <w:tab w:val="left" w:pos="3686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AC5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styleId="Emphasis">
    <w:name w:val="Emphasis"/>
    <w:qFormat/>
    <w:rsid w:val="00A51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Robinson</dc:creator>
  <cp:keywords/>
  <dc:description/>
  <cp:lastModifiedBy>Matthew Robinson</cp:lastModifiedBy>
  <cp:revision>2</cp:revision>
  <dcterms:created xsi:type="dcterms:W3CDTF">2018-05-10T15:26:00Z</dcterms:created>
  <dcterms:modified xsi:type="dcterms:W3CDTF">2018-05-10T15:27:00Z</dcterms:modified>
</cp:coreProperties>
</file>