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1B" w:rsidRPr="002A34A5" w:rsidRDefault="002A34A5" w:rsidP="005B3C7A">
      <w:pPr>
        <w:pStyle w:val="Heading3"/>
        <w:spacing w:line="276" w:lineRule="auto"/>
        <w:rPr>
          <w:bCs/>
        </w:rPr>
      </w:pPr>
      <w:bookmarkStart w:id="0" w:name="_GoBack"/>
      <w:bookmarkEnd w:id="0"/>
      <w:r>
        <w:rPr>
          <w:bCs/>
        </w:rPr>
        <w:t>Bruno Currie: publications</w:t>
      </w:r>
    </w:p>
    <w:p w:rsidR="004F131B" w:rsidRPr="002A34A5" w:rsidRDefault="004F131B" w:rsidP="005B3C7A">
      <w:pPr>
        <w:spacing w:line="276" w:lineRule="auto"/>
        <w:jc w:val="center"/>
        <w:rPr>
          <w:b/>
          <w:bCs/>
        </w:rPr>
      </w:pPr>
    </w:p>
    <w:p w:rsidR="005B3C7A" w:rsidRDefault="005B3C7A" w:rsidP="005B3C7A">
      <w:pPr>
        <w:spacing w:line="276" w:lineRule="auto"/>
        <w:ind w:left="720" w:hanging="720"/>
        <w:jc w:val="both"/>
        <w:rPr>
          <w:rStyle w:val="Roman"/>
          <w:b/>
          <w:sz w:val="22"/>
        </w:rPr>
      </w:pPr>
    </w:p>
    <w:p w:rsidR="002A34A5" w:rsidRPr="002A34A5" w:rsidRDefault="002A34A5" w:rsidP="005B3C7A">
      <w:pPr>
        <w:spacing w:line="276" w:lineRule="auto"/>
        <w:ind w:left="720" w:hanging="720"/>
        <w:jc w:val="both"/>
        <w:rPr>
          <w:rStyle w:val="Roman"/>
          <w:b/>
          <w:sz w:val="22"/>
        </w:rPr>
      </w:pPr>
      <w:r>
        <w:rPr>
          <w:rStyle w:val="Roman"/>
          <w:b/>
          <w:sz w:val="22"/>
        </w:rPr>
        <w:t>Books</w:t>
      </w:r>
    </w:p>
    <w:p w:rsidR="002A34A5" w:rsidRPr="002A34A5" w:rsidRDefault="002A34A5" w:rsidP="005B3C7A">
      <w:pPr>
        <w:spacing w:line="276" w:lineRule="auto"/>
        <w:ind w:left="720" w:hanging="720"/>
        <w:jc w:val="both"/>
        <w:rPr>
          <w:sz w:val="22"/>
        </w:rPr>
      </w:pPr>
      <w:r w:rsidRPr="002A34A5">
        <w:rPr>
          <w:rStyle w:val="Roman"/>
          <w:sz w:val="22"/>
        </w:rPr>
        <w:t xml:space="preserve"> </w:t>
      </w:r>
      <w:r w:rsidRPr="002A34A5">
        <w:rPr>
          <w:i/>
          <w:sz w:val="22"/>
        </w:rPr>
        <w:t>Pindar and the Cult of Heroes</w:t>
      </w:r>
      <w:r w:rsidRPr="002A34A5">
        <w:rPr>
          <w:sz w:val="22"/>
        </w:rPr>
        <w:t xml:space="preserve"> (Oxford</w:t>
      </w:r>
      <w:r w:rsidRPr="002A34A5">
        <w:rPr>
          <w:iCs/>
          <w:sz w:val="22"/>
        </w:rPr>
        <w:t>: OUP</w:t>
      </w:r>
      <w:r w:rsidRPr="002A34A5">
        <w:rPr>
          <w:sz w:val="22"/>
        </w:rPr>
        <w:t>, 2005).</w:t>
      </w:r>
    </w:p>
    <w:p w:rsidR="002A34A5" w:rsidRDefault="002A34A5" w:rsidP="005B3C7A">
      <w:pPr>
        <w:spacing w:line="276" w:lineRule="auto"/>
        <w:ind w:left="720" w:hanging="720"/>
        <w:jc w:val="both"/>
        <w:rPr>
          <w:rStyle w:val="Roman"/>
          <w:sz w:val="22"/>
        </w:rPr>
      </w:pPr>
    </w:p>
    <w:p w:rsidR="002A34A5" w:rsidRPr="002A34A5" w:rsidRDefault="002A34A5" w:rsidP="005B3C7A">
      <w:pPr>
        <w:spacing w:line="276" w:lineRule="auto"/>
        <w:ind w:left="720" w:hanging="720"/>
        <w:jc w:val="both"/>
        <w:rPr>
          <w:sz w:val="22"/>
        </w:rPr>
      </w:pPr>
      <w:r w:rsidRPr="002A34A5">
        <w:rPr>
          <w:rStyle w:val="Roman"/>
          <w:sz w:val="22"/>
        </w:rPr>
        <w:t xml:space="preserve"> </w:t>
      </w:r>
      <w:r w:rsidRPr="002A34A5">
        <w:rPr>
          <w:rStyle w:val="Roman"/>
          <w:i/>
          <w:sz w:val="22"/>
        </w:rPr>
        <w:t>Homer’s Allusive Art</w:t>
      </w:r>
      <w:r w:rsidRPr="002A34A5">
        <w:rPr>
          <w:rStyle w:val="Roman"/>
          <w:sz w:val="22"/>
        </w:rPr>
        <w:t xml:space="preserve"> </w:t>
      </w:r>
      <w:r w:rsidRPr="002A34A5">
        <w:rPr>
          <w:sz w:val="22"/>
        </w:rPr>
        <w:t>(Oxford</w:t>
      </w:r>
      <w:r w:rsidRPr="002A34A5">
        <w:rPr>
          <w:iCs/>
          <w:sz w:val="22"/>
        </w:rPr>
        <w:t>: OUP</w:t>
      </w:r>
      <w:r w:rsidRPr="002A34A5">
        <w:rPr>
          <w:sz w:val="22"/>
        </w:rPr>
        <w:t>, 2016).</w:t>
      </w:r>
    </w:p>
    <w:p w:rsidR="002A34A5" w:rsidRPr="002A34A5" w:rsidRDefault="002A34A5" w:rsidP="005B3C7A">
      <w:pPr>
        <w:spacing w:line="276" w:lineRule="auto"/>
        <w:ind w:left="720" w:hanging="720"/>
        <w:jc w:val="both"/>
        <w:rPr>
          <w:sz w:val="22"/>
        </w:rPr>
      </w:pPr>
    </w:p>
    <w:p w:rsidR="002A34A5" w:rsidRPr="002A34A5" w:rsidRDefault="002A34A5" w:rsidP="005B3C7A">
      <w:pPr>
        <w:spacing w:line="276" w:lineRule="auto"/>
        <w:ind w:left="720" w:hanging="720"/>
        <w:jc w:val="both"/>
        <w:rPr>
          <w:b/>
          <w:sz w:val="22"/>
        </w:rPr>
      </w:pPr>
      <w:r w:rsidRPr="002A34A5">
        <w:rPr>
          <w:b/>
          <w:sz w:val="22"/>
        </w:rPr>
        <w:t>Edited books</w:t>
      </w:r>
    </w:p>
    <w:p w:rsidR="002A34A5" w:rsidRPr="002A34A5" w:rsidRDefault="002A34A5" w:rsidP="005B3C7A">
      <w:pPr>
        <w:spacing w:line="276" w:lineRule="auto"/>
        <w:ind w:left="720" w:hanging="720"/>
        <w:jc w:val="both"/>
        <w:rPr>
          <w:sz w:val="22"/>
        </w:rPr>
      </w:pPr>
      <w:r w:rsidRPr="002A34A5">
        <w:rPr>
          <w:iCs/>
          <w:sz w:val="22"/>
        </w:rPr>
        <w:t xml:space="preserve"> </w:t>
      </w:r>
      <w:r w:rsidRPr="002A34A5">
        <w:rPr>
          <w:i/>
          <w:sz w:val="22"/>
        </w:rPr>
        <w:t>Epic Interactions: Perspectives on Homer, Virgil and the Epic Tradition Presented to Jasper Griffin by Former Pupils</w:t>
      </w:r>
      <w:r w:rsidRPr="002A34A5">
        <w:rPr>
          <w:iCs/>
          <w:sz w:val="22"/>
        </w:rPr>
        <w:t xml:space="preserve"> (Oxford: OUP, 2006),</w:t>
      </w:r>
      <w:r w:rsidRPr="002A34A5">
        <w:rPr>
          <w:sz w:val="22"/>
        </w:rPr>
        <w:t xml:space="preserve"> with M. J. Clarke and †R. O. A. M. Lyne.</w:t>
      </w:r>
    </w:p>
    <w:p w:rsidR="002A34A5" w:rsidRPr="002A34A5" w:rsidRDefault="002A34A5" w:rsidP="005B3C7A">
      <w:pPr>
        <w:spacing w:line="276" w:lineRule="auto"/>
        <w:ind w:left="720" w:hanging="720"/>
        <w:jc w:val="both"/>
        <w:rPr>
          <w:iCs/>
          <w:sz w:val="22"/>
        </w:rPr>
      </w:pPr>
    </w:p>
    <w:p w:rsidR="002A34A5" w:rsidRPr="002A34A5" w:rsidRDefault="002A34A5" w:rsidP="005B3C7A">
      <w:pPr>
        <w:spacing w:line="276" w:lineRule="auto"/>
        <w:ind w:left="720" w:hanging="720"/>
        <w:jc w:val="both"/>
        <w:rPr>
          <w:iCs/>
          <w:sz w:val="22"/>
        </w:rPr>
      </w:pPr>
      <w:r w:rsidRPr="002A34A5">
        <w:rPr>
          <w:b/>
          <w:sz w:val="22"/>
        </w:rPr>
        <w:t>Edited books, forthcoming</w:t>
      </w:r>
    </w:p>
    <w:p w:rsidR="002A34A5" w:rsidRPr="002A34A5" w:rsidRDefault="002A34A5" w:rsidP="005B3C7A">
      <w:pPr>
        <w:spacing w:line="276" w:lineRule="auto"/>
        <w:ind w:left="720" w:hanging="720"/>
        <w:jc w:val="both"/>
        <w:rPr>
          <w:sz w:val="22"/>
          <w:szCs w:val="22"/>
        </w:rPr>
      </w:pPr>
      <w:r w:rsidRPr="002A34A5">
        <w:rPr>
          <w:iCs/>
          <w:sz w:val="22"/>
        </w:rPr>
        <w:t xml:space="preserve"> </w:t>
      </w:r>
      <w:r w:rsidRPr="002A34A5">
        <w:rPr>
          <w:i/>
          <w:sz w:val="22"/>
          <w:szCs w:val="22"/>
        </w:rPr>
        <w:t>The Reception of Greek Lyric Poetry in the Ancient World: Tra[nsmiss]ion, {Canon}ization &lt;and Paratext&gt;</w:t>
      </w:r>
      <w:r w:rsidRPr="002A34A5">
        <w:rPr>
          <w:sz w:val="22"/>
          <w:szCs w:val="22"/>
        </w:rPr>
        <w:t>. With I. C. Rutherford. Publication anticipated by Brill (Leiden and Boston, 2018/2019).</w:t>
      </w:r>
    </w:p>
    <w:p w:rsidR="002A34A5" w:rsidRDefault="002A34A5" w:rsidP="005B3C7A">
      <w:pPr>
        <w:spacing w:line="276" w:lineRule="auto"/>
        <w:ind w:left="720" w:hanging="720"/>
        <w:rPr>
          <w:b/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sz w:val="22"/>
        </w:rPr>
      </w:pPr>
      <w:r w:rsidRPr="002A34A5">
        <w:rPr>
          <w:b/>
          <w:sz w:val="22"/>
        </w:rPr>
        <w:t>Articles and book chapters</w:t>
      </w:r>
    </w:p>
    <w:p w:rsidR="002A34A5" w:rsidRDefault="004F131B" w:rsidP="005B3C7A">
      <w:pPr>
        <w:spacing w:line="276" w:lineRule="auto"/>
        <w:ind w:left="720" w:hanging="720"/>
        <w:rPr>
          <w:sz w:val="22"/>
        </w:rPr>
      </w:pPr>
      <w:r w:rsidRPr="002A34A5">
        <w:rPr>
          <w:sz w:val="22"/>
        </w:rPr>
        <w:t xml:space="preserve"> ‘A Note on Catullus 63.5’, </w:t>
      </w:r>
      <w:r w:rsidRPr="002A34A5">
        <w:rPr>
          <w:i/>
          <w:sz w:val="22"/>
        </w:rPr>
        <w:t>Classical Quarterly</w:t>
      </w:r>
      <w:r w:rsidRPr="002A34A5">
        <w:rPr>
          <w:sz w:val="22"/>
        </w:rPr>
        <w:t xml:space="preserve"> 46 (1996) 579-81</w:t>
      </w:r>
    </w:p>
    <w:p w:rsidR="002A34A5" w:rsidRPr="002A34A5" w:rsidRDefault="002A34A5" w:rsidP="005B3C7A">
      <w:pPr>
        <w:spacing w:line="276" w:lineRule="auto"/>
        <w:ind w:left="720" w:hanging="720"/>
        <w:rPr>
          <w:sz w:val="22"/>
        </w:rPr>
      </w:pPr>
    </w:p>
    <w:p w:rsidR="004F131B" w:rsidRDefault="004F131B" w:rsidP="005B3C7A">
      <w:pPr>
        <w:spacing w:line="276" w:lineRule="auto"/>
        <w:ind w:left="720" w:hanging="720"/>
        <w:rPr>
          <w:sz w:val="22"/>
        </w:rPr>
      </w:pPr>
      <w:r w:rsidRPr="002A34A5">
        <w:rPr>
          <w:sz w:val="22"/>
        </w:rPr>
        <w:t xml:space="preserve"> ‘</w:t>
      </w:r>
      <w:r w:rsidRPr="002A34A5">
        <w:rPr>
          <w:i/>
          <w:iCs/>
          <w:sz w:val="22"/>
        </w:rPr>
        <w:t>POxy</w:t>
      </w:r>
      <w:r w:rsidRPr="002A34A5">
        <w:rPr>
          <w:sz w:val="22"/>
        </w:rPr>
        <w:t xml:space="preserve"> 4569: Demosthenes XIX.1-7, 9-13, etc.’, </w:t>
      </w:r>
      <w:r w:rsidRPr="002A34A5">
        <w:rPr>
          <w:i/>
          <w:sz w:val="22"/>
        </w:rPr>
        <w:t>Oxyrhynchus Papyri</w:t>
      </w:r>
      <w:r w:rsidRPr="002A34A5">
        <w:rPr>
          <w:iCs/>
          <w:sz w:val="22"/>
        </w:rPr>
        <w:t xml:space="preserve"> 67 (</w:t>
      </w:r>
      <w:r w:rsidRPr="002A34A5">
        <w:rPr>
          <w:sz w:val="22"/>
        </w:rPr>
        <w:t>2001)</w:t>
      </w:r>
      <w:r w:rsidRPr="002A34A5">
        <w:rPr>
          <w:iCs/>
          <w:sz w:val="22"/>
        </w:rPr>
        <w:t xml:space="preserve"> 66-80 [in collaboration with others; my contribution: introduction, transcript and commentary on fr. 1  (</w:t>
      </w:r>
      <w:r w:rsidRPr="002A34A5">
        <w:rPr>
          <w:sz w:val="22"/>
        </w:rPr>
        <w:t xml:space="preserve">115/44 + </w:t>
      </w:r>
      <w:r w:rsidRPr="002A34A5">
        <w:rPr>
          <w:i/>
          <w:iCs/>
          <w:sz w:val="22"/>
        </w:rPr>
        <w:t>P. Lit. Lond</w:t>
      </w:r>
      <w:r w:rsidRPr="002A34A5">
        <w:rPr>
          <w:sz w:val="22"/>
        </w:rPr>
        <w:t>. 126), pp. 66-74]</w:t>
      </w:r>
    </w:p>
    <w:p w:rsidR="002A34A5" w:rsidRPr="002A34A5" w:rsidRDefault="002A34A5" w:rsidP="005B3C7A">
      <w:pPr>
        <w:spacing w:line="276" w:lineRule="auto"/>
        <w:ind w:left="720" w:hanging="720"/>
        <w:rPr>
          <w:iCs/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</w:rPr>
      </w:pPr>
      <w:r w:rsidRPr="002A34A5">
        <w:rPr>
          <w:sz w:val="22"/>
        </w:rPr>
        <w:t xml:space="preserve"> ‘</w:t>
      </w:r>
      <w:r w:rsidRPr="002A34A5">
        <w:rPr>
          <w:rStyle w:val="Roman"/>
          <w:sz w:val="22"/>
        </w:rPr>
        <w:t xml:space="preserve">Euthymos of Locri: A Case Study in Heroization in the Classical Period’, </w:t>
      </w:r>
      <w:r w:rsidRPr="002A34A5">
        <w:rPr>
          <w:rStyle w:val="Roman"/>
          <w:i/>
          <w:iCs/>
          <w:sz w:val="22"/>
        </w:rPr>
        <w:t>Journal of Hellenic Studies</w:t>
      </w:r>
      <w:r w:rsidRPr="002A34A5">
        <w:rPr>
          <w:rStyle w:val="Roman"/>
          <w:sz w:val="22"/>
        </w:rPr>
        <w:t xml:space="preserve"> 122 (</w:t>
      </w:r>
      <w:r w:rsidRPr="002A34A5">
        <w:rPr>
          <w:sz w:val="22"/>
        </w:rPr>
        <w:t>2002)</w:t>
      </w:r>
      <w:r w:rsidRPr="002A34A5">
        <w:rPr>
          <w:rStyle w:val="Roman"/>
          <w:sz w:val="22"/>
        </w:rPr>
        <w:t xml:space="preserve"> </w:t>
      </w:r>
      <w:r w:rsidRPr="002A34A5">
        <w:rPr>
          <w:sz w:val="22"/>
        </w:rPr>
        <w:t>24-44</w:t>
      </w:r>
    </w:p>
    <w:p w:rsidR="002A34A5" w:rsidRDefault="002A34A5" w:rsidP="005B3C7A">
      <w:pPr>
        <w:spacing w:line="276" w:lineRule="auto"/>
        <w:ind w:left="720" w:hanging="720"/>
        <w:rPr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sz w:val="22"/>
        </w:rPr>
      </w:pPr>
      <w:r w:rsidRPr="002A34A5">
        <w:rPr>
          <w:sz w:val="22"/>
        </w:rPr>
        <w:t xml:space="preserve"> ‘Euthymos di Locri: uno studio sull’eroizzazione nel periodo classico’, in:</w:t>
      </w:r>
      <w:r w:rsidRPr="002A34A5">
        <w:rPr>
          <w:i/>
          <w:iCs/>
          <w:sz w:val="22"/>
        </w:rPr>
        <w:t xml:space="preserve"> Polis. Studi interdisciplinari sul mondo antico</w:t>
      </w:r>
      <w:r w:rsidRPr="002A34A5">
        <w:rPr>
          <w:sz w:val="22"/>
        </w:rPr>
        <w:t xml:space="preserve"> (L'Erma di Bretschneider: </w:t>
      </w:r>
      <w:smartTag w:uri="urn:schemas-microsoft-com:office:smarttags" w:element="City">
        <w:smartTag w:uri="urn:schemas-microsoft-com:office:smarttags" w:element="place">
          <w:r w:rsidRPr="002A34A5">
            <w:rPr>
              <w:sz w:val="22"/>
            </w:rPr>
            <w:t>Rome</w:t>
          </w:r>
        </w:smartTag>
      </w:smartTag>
      <w:r w:rsidRPr="002A34A5">
        <w:rPr>
          <w:sz w:val="22"/>
        </w:rPr>
        <w:t>) [translation of above]</w:t>
      </w:r>
    </w:p>
    <w:p w:rsidR="002A34A5" w:rsidRDefault="002A34A5" w:rsidP="005B3C7A">
      <w:pPr>
        <w:spacing w:line="276" w:lineRule="auto"/>
        <w:ind w:left="720" w:hanging="720"/>
        <w:rPr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</w:rPr>
      </w:pPr>
      <w:r w:rsidRPr="002A34A5">
        <w:rPr>
          <w:sz w:val="22"/>
        </w:rPr>
        <w:t xml:space="preserve"> ‘Reperformance Scenarios for Pindar’s Odes’, in: C. Mackie (ed.) </w:t>
      </w:r>
      <w:r w:rsidRPr="002A34A5">
        <w:rPr>
          <w:rStyle w:val="Roman"/>
          <w:i/>
          <w:iCs/>
          <w:sz w:val="22"/>
        </w:rPr>
        <w:t>Oral Performance and Its Context.</w:t>
      </w:r>
      <w:r w:rsidRPr="002A34A5">
        <w:rPr>
          <w:rStyle w:val="Roman"/>
          <w:sz w:val="22"/>
        </w:rPr>
        <w:t xml:space="preserve"> </w:t>
      </w:r>
      <w:r w:rsidRPr="002A34A5">
        <w:rPr>
          <w:i/>
          <w:iCs/>
          <w:sz w:val="22"/>
          <w:lang w:val="en-US"/>
        </w:rPr>
        <w:t xml:space="preserve">Orality and Literacy in Ancient </w:t>
      </w:r>
      <w:smartTag w:uri="urn:schemas-microsoft-com:office:smarttags" w:element="country-region">
        <w:r w:rsidRPr="002A34A5">
          <w:rPr>
            <w:i/>
            <w:iCs/>
            <w:sz w:val="22"/>
            <w:lang w:val="en-US"/>
          </w:rPr>
          <w:t>Greece</w:t>
        </w:r>
      </w:smartTag>
      <w:r w:rsidRPr="002A34A5">
        <w:rPr>
          <w:sz w:val="22"/>
          <w:lang w:val="en-US"/>
        </w:rPr>
        <w:t xml:space="preserve"> vol. 5</w:t>
      </w:r>
      <w:r w:rsidRPr="002A34A5">
        <w:rPr>
          <w:rStyle w:val="Roman"/>
          <w:sz w:val="22"/>
        </w:rPr>
        <w:t xml:space="preserve"> (Brill: </w:t>
      </w:r>
      <w:smartTag w:uri="urn:schemas-microsoft-com:office:smarttags" w:element="City">
        <w:r w:rsidRPr="002A34A5">
          <w:rPr>
            <w:rStyle w:val="Roman"/>
            <w:sz w:val="22"/>
          </w:rPr>
          <w:t>Leiden</w:t>
        </w:r>
      </w:smartTag>
      <w:r w:rsidRPr="002A34A5">
        <w:rPr>
          <w:rStyle w:val="Roman"/>
          <w:sz w:val="22"/>
        </w:rPr>
        <w:t xml:space="preserve">, </w:t>
      </w:r>
      <w:smartTag w:uri="urn:schemas-microsoft-com:office:smarttags" w:element="City">
        <w:r w:rsidRPr="002A34A5">
          <w:rPr>
            <w:rStyle w:val="Roman"/>
            <w:sz w:val="22"/>
          </w:rPr>
          <w:t>Boston</w:t>
        </w:r>
      </w:smartTag>
      <w:r w:rsidRPr="002A34A5">
        <w:rPr>
          <w:rStyle w:val="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A34A5">
            <w:rPr>
              <w:rStyle w:val="Roman"/>
              <w:sz w:val="22"/>
            </w:rPr>
            <w:t>Cologne</w:t>
          </w:r>
        </w:smartTag>
      </w:smartTag>
      <w:r w:rsidRPr="002A34A5">
        <w:rPr>
          <w:rStyle w:val="Roman"/>
          <w:sz w:val="22"/>
        </w:rPr>
        <w:t xml:space="preserve">, </w:t>
      </w:r>
      <w:r w:rsidRPr="002A34A5">
        <w:rPr>
          <w:sz w:val="22"/>
        </w:rPr>
        <w:t>2004</w:t>
      </w:r>
      <w:r w:rsidRPr="002A34A5">
        <w:rPr>
          <w:rStyle w:val="Roman"/>
          <w:sz w:val="22"/>
        </w:rPr>
        <w:t>) 49-69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iCs/>
          <w:sz w:val="22"/>
        </w:rPr>
      </w:pPr>
      <w:r w:rsidRPr="002A34A5">
        <w:rPr>
          <w:rStyle w:val="Roman"/>
          <w:sz w:val="22"/>
        </w:rPr>
        <w:t xml:space="preserve">‘Homer and the Early Epic Tradition’, in: </w:t>
      </w:r>
      <w:r w:rsidRPr="002A34A5">
        <w:rPr>
          <w:sz w:val="22"/>
        </w:rPr>
        <w:t>M. J. Clarke, B. G. F. Currie and †R. O. A. M. Lyne</w:t>
      </w:r>
      <w:r w:rsidRPr="002A34A5">
        <w:rPr>
          <w:rStyle w:val="Roman"/>
          <w:sz w:val="22"/>
        </w:rPr>
        <w:t xml:space="preserve"> </w:t>
      </w:r>
      <w:r w:rsidRPr="002A34A5">
        <w:rPr>
          <w:i/>
          <w:sz w:val="22"/>
        </w:rPr>
        <w:t xml:space="preserve">Epic Interactions: Perspectives on Homer, Virgil and the Epic Tradition Presented to Jasper </w:t>
      </w:r>
      <w:smartTag w:uri="urn:schemas-microsoft-com:office:smarttags" w:element="City">
        <w:r w:rsidRPr="002A34A5">
          <w:rPr>
            <w:i/>
            <w:sz w:val="22"/>
          </w:rPr>
          <w:t>Griffin</w:t>
        </w:r>
      </w:smartTag>
      <w:r w:rsidRPr="002A34A5">
        <w:rPr>
          <w:i/>
          <w:sz w:val="22"/>
        </w:rPr>
        <w:t xml:space="preserve"> by Former Pupils</w:t>
      </w:r>
      <w:r w:rsidRPr="002A34A5">
        <w:rPr>
          <w:iCs/>
          <w:sz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2A34A5">
            <w:rPr>
              <w:iCs/>
              <w:sz w:val="22"/>
            </w:rPr>
            <w:t>Oxford</w:t>
          </w:r>
        </w:smartTag>
      </w:smartTag>
      <w:r w:rsidRPr="002A34A5">
        <w:rPr>
          <w:iCs/>
          <w:sz w:val="22"/>
        </w:rPr>
        <w:t>, 2006), pp.1-45.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</w:rPr>
      </w:pPr>
      <w:r w:rsidRPr="002A34A5">
        <w:rPr>
          <w:rStyle w:val="Roman"/>
          <w:sz w:val="22"/>
        </w:rPr>
        <w:t xml:space="preserve">‘Epilogue’, in: </w:t>
      </w:r>
      <w:r w:rsidRPr="002A34A5">
        <w:rPr>
          <w:sz w:val="22"/>
        </w:rPr>
        <w:t>M. J. Clarke, B. G. F. Currie and †R. O. A. M. Lyne</w:t>
      </w:r>
      <w:r w:rsidRPr="002A34A5">
        <w:rPr>
          <w:rStyle w:val="Roman"/>
          <w:sz w:val="22"/>
        </w:rPr>
        <w:t xml:space="preserve"> </w:t>
      </w:r>
      <w:r w:rsidRPr="002A34A5">
        <w:rPr>
          <w:i/>
          <w:sz w:val="22"/>
        </w:rPr>
        <w:t xml:space="preserve">Epic Interactions: Perspectives on Homer, Virgil and the Epic Tradition Presented to Jasper </w:t>
      </w:r>
      <w:smartTag w:uri="urn:schemas-microsoft-com:office:smarttags" w:element="City">
        <w:r w:rsidRPr="002A34A5">
          <w:rPr>
            <w:i/>
            <w:sz w:val="22"/>
          </w:rPr>
          <w:t>Griffin</w:t>
        </w:r>
      </w:smartTag>
      <w:r w:rsidRPr="002A34A5">
        <w:rPr>
          <w:i/>
          <w:sz w:val="22"/>
        </w:rPr>
        <w:t xml:space="preserve"> by Former Pupils</w:t>
      </w:r>
      <w:r w:rsidRPr="002A34A5">
        <w:rPr>
          <w:iCs/>
          <w:sz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2A34A5">
            <w:rPr>
              <w:iCs/>
              <w:sz w:val="22"/>
            </w:rPr>
            <w:t>Oxford</w:t>
          </w:r>
        </w:smartTag>
      </w:smartTag>
      <w:r w:rsidRPr="002A34A5">
        <w:rPr>
          <w:iCs/>
          <w:sz w:val="22"/>
        </w:rPr>
        <w:t>, 2006), pp. 331-374.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</w:rPr>
      </w:pPr>
      <w:r w:rsidRPr="002A34A5">
        <w:rPr>
          <w:rStyle w:val="Roman"/>
          <w:sz w:val="22"/>
        </w:rPr>
        <w:t xml:space="preserve">‘Heroes and Holy Men in Early Greece: Hesiod’s </w:t>
      </w:r>
      <w:r w:rsidRPr="002A34A5">
        <w:rPr>
          <w:rStyle w:val="Roman"/>
          <w:i/>
          <w:sz w:val="22"/>
        </w:rPr>
        <w:t>theios aner</w:t>
      </w:r>
      <w:r w:rsidRPr="002A34A5">
        <w:rPr>
          <w:rStyle w:val="Roman"/>
          <w:sz w:val="22"/>
        </w:rPr>
        <w:t xml:space="preserve">’, in A. Coppola (ed.), </w:t>
      </w:r>
      <w:r w:rsidRPr="002A34A5">
        <w:rPr>
          <w:rStyle w:val="Roman"/>
          <w:i/>
          <w:sz w:val="22"/>
        </w:rPr>
        <w:t>Eroi, eroismi, eroizzazzioni</w:t>
      </w:r>
      <w:r w:rsidRPr="002A34A5">
        <w:rPr>
          <w:rStyle w:val="Roman"/>
          <w:sz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2A34A5">
            <w:rPr>
              <w:rStyle w:val="Roman"/>
              <w:sz w:val="22"/>
            </w:rPr>
            <w:t>Padua</w:t>
          </w:r>
        </w:smartTag>
      </w:smartTag>
      <w:r w:rsidRPr="002A34A5">
        <w:rPr>
          <w:rStyle w:val="Roman"/>
          <w:sz w:val="22"/>
        </w:rPr>
        <w:t>, 2007), pp. 163-203</w:t>
      </w:r>
      <w:r w:rsidR="002A34A5">
        <w:rPr>
          <w:rStyle w:val="Roman"/>
          <w:sz w:val="22"/>
        </w:rPr>
        <w:t>.</w:t>
      </w:r>
    </w:p>
    <w:p w:rsidR="002A34A5" w:rsidRDefault="002A34A5" w:rsidP="005B3C7A">
      <w:pPr>
        <w:spacing w:line="276" w:lineRule="auto"/>
        <w:ind w:left="720" w:hanging="720"/>
        <w:rPr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sz w:val="22"/>
        </w:rPr>
      </w:pPr>
      <w:r w:rsidRPr="002A34A5">
        <w:rPr>
          <w:sz w:val="22"/>
        </w:rPr>
        <w:t xml:space="preserve"> ‘Allusive Tears in Homer’s </w:t>
      </w:r>
      <w:r w:rsidRPr="002A34A5">
        <w:rPr>
          <w:i/>
          <w:sz w:val="22"/>
        </w:rPr>
        <w:t>Iliad</w:t>
      </w:r>
      <w:r w:rsidRPr="002A34A5">
        <w:rPr>
          <w:sz w:val="22"/>
        </w:rPr>
        <w:t xml:space="preserve">’, in </w:t>
      </w:r>
      <w:r w:rsidRPr="002A34A5">
        <w:rPr>
          <w:i/>
          <w:sz w:val="22"/>
        </w:rPr>
        <w:t>Omnibus</w:t>
      </w:r>
      <w:r w:rsidRPr="002A34A5">
        <w:rPr>
          <w:sz w:val="22"/>
        </w:rPr>
        <w:t xml:space="preserve"> 57 (January 2009): 25-27.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  <w:szCs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color w:val="000000"/>
          <w:sz w:val="22"/>
          <w:szCs w:val="22"/>
          <w:lang w:val="en"/>
        </w:rPr>
      </w:pPr>
      <w:r w:rsidRPr="002A34A5">
        <w:rPr>
          <w:rStyle w:val="Roman"/>
          <w:sz w:val="22"/>
          <w:szCs w:val="22"/>
        </w:rPr>
        <w:t>‘</w:t>
      </w:r>
      <w:r w:rsidRPr="002A34A5">
        <w:rPr>
          <w:sz w:val="22"/>
          <w:szCs w:val="22"/>
          <w:lang w:val="en"/>
        </w:rPr>
        <w:t>L’</w:t>
      </w:r>
      <w:r w:rsidRPr="002A34A5">
        <w:rPr>
          <w:i/>
          <w:sz w:val="22"/>
          <w:szCs w:val="22"/>
          <w:lang w:val="en"/>
        </w:rPr>
        <w:t>Ode</w:t>
      </w:r>
      <w:r w:rsidRPr="002A34A5">
        <w:rPr>
          <w:sz w:val="22"/>
          <w:szCs w:val="22"/>
          <w:lang w:val="en"/>
        </w:rPr>
        <w:t xml:space="preserve"> 11 di Bacchilide: il mito delle Pretidi nella lirica corale, nella poesia epica, e nella mitografia’</w:t>
      </w:r>
      <w:r w:rsidRPr="002A34A5">
        <w:rPr>
          <w:rStyle w:val="Roman"/>
          <w:sz w:val="22"/>
          <w:szCs w:val="22"/>
        </w:rPr>
        <w:t xml:space="preserve">, in: E. Cingano (ed.), </w:t>
      </w:r>
      <w:r w:rsidRPr="002A34A5">
        <w:rPr>
          <w:i/>
          <w:sz w:val="22"/>
          <w:szCs w:val="22"/>
        </w:rPr>
        <w:t>Tra panellenismo e tradizioni locali. Generi poetici e storiografia</w:t>
      </w:r>
      <w:r w:rsidRPr="002A34A5">
        <w:rPr>
          <w:color w:val="000000"/>
          <w:sz w:val="22"/>
          <w:szCs w:val="22"/>
          <w:lang w:val="en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2A34A5">
            <w:rPr>
              <w:color w:val="000000"/>
              <w:sz w:val="22"/>
              <w:szCs w:val="22"/>
              <w:lang w:val="en"/>
            </w:rPr>
            <w:t>Alessandria</w:t>
          </w:r>
        </w:smartTag>
      </w:smartTag>
      <w:r w:rsidRPr="002A34A5">
        <w:rPr>
          <w:color w:val="000000"/>
          <w:sz w:val="22"/>
          <w:szCs w:val="22"/>
          <w:lang w:val="en"/>
        </w:rPr>
        <w:t>: Edizioni dell’Orso, 2010): 211-253.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color w:val="000000"/>
          <w:sz w:val="22"/>
          <w:szCs w:val="22"/>
          <w:lang w:val="en"/>
        </w:rPr>
      </w:pPr>
      <w:r w:rsidRPr="002A34A5">
        <w:rPr>
          <w:rStyle w:val="Roman"/>
          <w:sz w:val="22"/>
        </w:rPr>
        <w:lastRenderedPageBreak/>
        <w:t xml:space="preserve"> entries ‘</w:t>
      </w:r>
      <w:r w:rsidRPr="002A34A5">
        <w:rPr>
          <w:color w:val="000000"/>
          <w:sz w:val="22"/>
          <w:szCs w:val="22"/>
          <w:lang w:val="en"/>
        </w:rPr>
        <w:t>Hymns, Homeric’, ‘Aphrodite’, ‘Demeter’, ‘Divine audience’, ‘Aineias’, ‘Eos’, ‘Charites’, ‘Dios apate’, ‘Anchises’, ‘Persephone’, ‘Tantalos’, ‘Pelops’, ‘Iasion’, ‘Tithonos’, ‘Orai’, ‘Charis’, ‘Kypris’, ‘Kythereia’, in: M. Finkelberg (ed.)</w:t>
      </w:r>
      <w:r w:rsidRPr="002A34A5">
        <w:rPr>
          <w:noProof/>
          <w:sz w:val="22"/>
          <w:szCs w:val="22"/>
          <w:lang w:val="el-GR"/>
        </w:rPr>
        <w:t xml:space="preserve">, </w:t>
      </w:r>
      <w:r w:rsidRPr="002A34A5">
        <w:rPr>
          <w:i/>
          <w:noProof/>
          <w:sz w:val="22"/>
          <w:szCs w:val="22"/>
          <w:lang w:val="el-GR"/>
        </w:rPr>
        <w:t>The</w:t>
      </w:r>
      <w:r w:rsidRPr="002A34A5">
        <w:rPr>
          <w:noProof/>
          <w:sz w:val="22"/>
          <w:szCs w:val="22"/>
          <w:lang w:val="el-GR"/>
        </w:rPr>
        <w:t xml:space="preserve"> </w:t>
      </w:r>
      <w:r w:rsidRPr="002A34A5">
        <w:rPr>
          <w:i/>
          <w:noProof/>
          <w:sz w:val="22"/>
          <w:szCs w:val="22"/>
          <w:lang w:val="el-GR"/>
        </w:rPr>
        <w:t>Homer Encyclopedia</w:t>
      </w:r>
      <w:r w:rsidRPr="002A34A5">
        <w:rPr>
          <w:noProof/>
          <w:sz w:val="22"/>
          <w:szCs w:val="22"/>
        </w:rPr>
        <w:t>, 3 vols.</w:t>
      </w:r>
      <w:r w:rsidRPr="002A34A5">
        <w:rPr>
          <w:noProof/>
          <w:sz w:val="22"/>
          <w:szCs w:val="22"/>
          <w:lang w:val="el-GR"/>
        </w:rPr>
        <w:t xml:space="preserve"> (</w:t>
      </w:r>
      <w:r w:rsidRPr="002A34A5">
        <w:rPr>
          <w:rStyle w:val="Roman"/>
          <w:sz w:val="22"/>
        </w:rPr>
        <w:t xml:space="preserve">Malden, MA: Wiley-Blackwell, </w:t>
      </w:r>
      <w:r w:rsidRPr="002A34A5">
        <w:rPr>
          <w:noProof/>
          <w:sz w:val="22"/>
          <w:szCs w:val="22"/>
        </w:rPr>
        <w:t>2011</w:t>
      </w:r>
      <w:r w:rsidRPr="002A34A5">
        <w:rPr>
          <w:noProof/>
          <w:sz w:val="22"/>
          <w:szCs w:val="22"/>
          <w:lang w:val="el-GR"/>
        </w:rPr>
        <w:t>)</w:t>
      </w:r>
      <w:r w:rsidRPr="002A34A5">
        <w:rPr>
          <w:noProof/>
          <w:sz w:val="22"/>
          <w:szCs w:val="22"/>
        </w:rPr>
        <w:t>.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  <w:szCs w:val="22"/>
          <w:lang w:val="en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  <w:szCs w:val="22"/>
        </w:rPr>
      </w:pPr>
      <w:r w:rsidRPr="002A34A5">
        <w:rPr>
          <w:rStyle w:val="Roman"/>
          <w:sz w:val="22"/>
          <w:szCs w:val="22"/>
          <w:lang w:val="en"/>
        </w:rPr>
        <w:t>‘</w:t>
      </w:r>
      <w:r w:rsidRPr="002A34A5">
        <w:rPr>
          <w:sz w:val="22"/>
          <w:szCs w:val="22"/>
        </w:rPr>
        <w:t xml:space="preserve">Epinician </w:t>
      </w:r>
      <w:r w:rsidRPr="002A34A5">
        <w:rPr>
          <w:i/>
          <w:sz w:val="22"/>
          <w:szCs w:val="22"/>
        </w:rPr>
        <w:t>choregia</w:t>
      </w:r>
      <w:r w:rsidRPr="002A34A5">
        <w:rPr>
          <w:sz w:val="22"/>
          <w:szCs w:val="22"/>
        </w:rPr>
        <w:t>: funding a Pindaric chorus</w:t>
      </w:r>
      <w:r w:rsidRPr="002A34A5">
        <w:rPr>
          <w:rStyle w:val="Roman"/>
          <w:sz w:val="22"/>
          <w:szCs w:val="22"/>
        </w:rPr>
        <w:t xml:space="preserve">’, in: E. Bowie and L. Athanassaki (eds), </w:t>
      </w:r>
      <w:r w:rsidRPr="002A34A5">
        <w:rPr>
          <w:rStyle w:val="Roman"/>
          <w:i/>
          <w:sz w:val="22"/>
          <w:szCs w:val="22"/>
        </w:rPr>
        <w:t>Archaic and Classical Choral Song: Performance, Politics and Dissemination</w:t>
      </w:r>
      <w:r w:rsidRPr="002A34A5">
        <w:rPr>
          <w:rStyle w:val="Roman"/>
          <w:sz w:val="22"/>
          <w:szCs w:val="22"/>
        </w:rPr>
        <w:t xml:space="preserve"> = </w:t>
      </w:r>
      <w:r w:rsidRPr="002A34A5">
        <w:rPr>
          <w:rStyle w:val="Roman"/>
          <w:i/>
          <w:sz w:val="22"/>
          <w:szCs w:val="22"/>
        </w:rPr>
        <w:t>Trends in Classics Supplementary Volumes</w:t>
      </w:r>
      <w:r w:rsidRPr="002A34A5">
        <w:rPr>
          <w:rStyle w:val="Roman"/>
          <w:sz w:val="22"/>
          <w:szCs w:val="22"/>
        </w:rPr>
        <w:t xml:space="preserve"> 10 (</w:t>
      </w:r>
      <w:smartTag w:uri="urn:schemas-microsoft-com:office:smarttags" w:element="State">
        <w:r w:rsidRPr="002A34A5">
          <w:rPr>
            <w:rStyle w:val="Roman"/>
            <w:sz w:val="22"/>
            <w:szCs w:val="22"/>
          </w:rPr>
          <w:t>Berlin</w:t>
        </w:r>
      </w:smartTag>
      <w:r w:rsidRPr="002A34A5">
        <w:rPr>
          <w:rStyle w:val="Roman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2A34A5">
            <w:rPr>
              <w:rStyle w:val="Roman"/>
              <w:sz w:val="22"/>
              <w:szCs w:val="22"/>
            </w:rPr>
            <w:t>Boston</w:t>
          </w:r>
        </w:smartTag>
      </w:smartTag>
      <w:r w:rsidRPr="002A34A5">
        <w:rPr>
          <w:rStyle w:val="Roman"/>
          <w:sz w:val="22"/>
          <w:szCs w:val="22"/>
        </w:rPr>
        <w:t>: DeGruyter, 2011): 269-310.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</w:rPr>
      </w:pPr>
      <w:r w:rsidRPr="002A34A5">
        <w:rPr>
          <w:rStyle w:val="Roman"/>
          <w:sz w:val="22"/>
        </w:rPr>
        <w:t xml:space="preserve">‘Perspectives on Neoanalysis from the Archaic Hymns to Demeter’, in: Ø. Andersen and D. Haug (eds), </w:t>
      </w:r>
      <w:r w:rsidRPr="002A34A5">
        <w:rPr>
          <w:rStyle w:val="Roman"/>
          <w:i/>
          <w:sz w:val="22"/>
        </w:rPr>
        <w:t>Relative Chronology in Early Greek Epic Poetry</w:t>
      </w:r>
      <w:r w:rsidRPr="002A34A5">
        <w:rPr>
          <w:rStyle w:val="Roman"/>
          <w:sz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2A34A5">
            <w:rPr>
              <w:rStyle w:val="Roman"/>
              <w:sz w:val="22"/>
            </w:rPr>
            <w:t>Cambridge</w:t>
          </w:r>
        </w:smartTag>
      </w:smartTag>
      <w:r w:rsidRPr="002A34A5">
        <w:rPr>
          <w:rStyle w:val="Roman"/>
          <w:sz w:val="22"/>
        </w:rPr>
        <w:t>: Cambridge University Press, 2012): 184-209.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</w:rPr>
      </w:pPr>
      <w:r w:rsidRPr="002A34A5">
        <w:rPr>
          <w:rStyle w:val="Roman"/>
          <w:sz w:val="22"/>
        </w:rPr>
        <w:t xml:space="preserve">‘Sophocles and Hero Cult’, in: K. Ormand (ed.), </w:t>
      </w:r>
      <w:r w:rsidRPr="002A34A5">
        <w:rPr>
          <w:rStyle w:val="Roman"/>
          <w:i/>
          <w:sz w:val="22"/>
        </w:rPr>
        <w:t>A Companion to Sophocles</w:t>
      </w:r>
      <w:r w:rsidRPr="002A34A5">
        <w:rPr>
          <w:rStyle w:val="Roman"/>
          <w:sz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2A34A5">
            <w:rPr>
              <w:rStyle w:val="Roman"/>
              <w:sz w:val="22"/>
            </w:rPr>
            <w:t>Malden</w:t>
          </w:r>
        </w:smartTag>
        <w:r w:rsidRPr="002A34A5">
          <w:rPr>
            <w:rStyle w:val="Roman"/>
            <w:sz w:val="22"/>
          </w:rPr>
          <w:t xml:space="preserve">, </w:t>
        </w:r>
        <w:smartTag w:uri="urn:schemas-microsoft-com:office:smarttags" w:element="State">
          <w:r w:rsidRPr="002A34A5">
            <w:rPr>
              <w:rStyle w:val="Roman"/>
              <w:sz w:val="22"/>
            </w:rPr>
            <w:t>MA</w:t>
          </w:r>
        </w:smartTag>
      </w:smartTag>
      <w:r w:rsidRPr="002A34A5">
        <w:rPr>
          <w:rStyle w:val="Roman"/>
          <w:sz w:val="22"/>
        </w:rPr>
        <w:t>: Wiley-Blackwell, 2012): 331-348.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</w:rPr>
      </w:pPr>
      <w:r w:rsidRPr="002A34A5">
        <w:rPr>
          <w:rStyle w:val="Roman"/>
          <w:sz w:val="22"/>
        </w:rPr>
        <w:t xml:space="preserve">‘Pindar and Bacchylides’, in: I. J. F. de Jong (ed.), </w:t>
      </w:r>
      <w:r w:rsidRPr="002A34A5">
        <w:rPr>
          <w:rStyle w:val="Roman"/>
          <w:i/>
          <w:sz w:val="22"/>
        </w:rPr>
        <w:t>Space in Ancient Greek Literature. Studies in Ancient Greek Narrative, Volume three</w:t>
      </w:r>
      <w:r w:rsidRPr="002A34A5">
        <w:rPr>
          <w:rStyle w:val="Roman"/>
          <w:sz w:val="22"/>
        </w:rPr>
        <w:t xml:space="preserve"> (</w:t>
      </w:r>
      <w:smartTag w:uri="urn:schemas-microsoft-com:office:smarttags" w:element="City">
        <w:r w:rsidRPr="002A34A5">
          <w:rPr>
            <w:rStyle w:val="Roman"/>
            <w:sz w:val="22"/>
          </w:rPr>
          <w:t>Leiden</w:t>
        </w:r>
      </w:smartTag>
      <w:r w:rsidRPr="002A34A5">
        <w:rPr>
          <w:rStyle w:val="Roman"/>
          <w:sz w:val="22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2A34A5">
            <w:rPr>
              <w:rStyle w:val="Roman"/>
              <w:sz w:val="22"/>
            </w:rPr>
            <w:t>Boston</w:t>
          </w:r>
        </w:smartTag>
      </w:smartTag>
      <w:r w:rsidRPr="002A34A5">
        <w:rPr>
          <w:rStyle w:val="Roman"/>
          <w:sz w:val="22"/>
        </w:rPr>
        <w:t>: Brill, 2012): 285-303.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  <w:szCs w:val="22"/>
        </w:rPr>
      </w:pPr>
      <w:r w:rsidRPr="002A34A5">
        <w:rPr>
          <w:rStyle w:val="Roman"/>
          <w:sz w:val="22"/>
        </w:rPr>
        <w:t xml:space="preserve">‘The </w:t>
      </w:r>
      <w:r w:rsidRPr="002A34A5">
        <w:rPr>
          <w:rStyle w:val="Roman"/>
          <w:i/>
          <w:sz w:val="22"/>
        </w:rPr>
        <w:t>Iliad</w:t>
      </w:r>
      <w:r w:rsidRPr="002A34A5">
        <w:rPr>
          <w:rStyle w:val="Roman"/>
          <w:sz w:val="22"/>
        </w:rPr>
        <w:t xml:space="preserve">, </w:t>
      </w:r>
      <w:r w:rsidRPr="002A34A5">
        <w:rPr>
          <w:rStyle w:val="Roman"/>
          <w:i/>
          <w:sz w:val="22"/>
        </w:rPr>
        <w:t>Gilgamesh</w:t>
      </w:r>
      <w:r w:rsidRPr="002A34A5">
        <w:rPr>
          <w:rStyle w:val="Roman"/>
          <w:sz w:val="22"/>
        </w:rPr>
        <w:t xml:space="preserve"> and Neoanalysis’, in:</w:t>
      </w:r>
      <w:r w:rsidRPr="002A34A5">
        <w:rPr>
          <w:rStyle w:val="Roman"/>
          <w:noProof/>
          <w:sz w:val="22"/>
        </w:rPr>
        <w:t xml:space="preserve"> F. Montanari,</w:t>
      </w:r>
      <w:r w:rsidRPr="002A34A5">
        <w:rPr>
          <w:rStyle w:val="Roman"/>
          <w:sz w:val="22"/>
        </w:rPr>
        <w:t xml:space="preserve"> A. Rengakos and C. Tsagalis (eds.), </w:t>
      </w:r>
      <w:r w:rsidRPr="002A34A5">
        <w:rPr>
          <w:i/>
          <w:sz w:val="22"/>
          <w:szCs w:val="22"/>
          <w:lang w:eastAsia="en-GB"/>
        </w:rPr>
        <w:t>Homeric Contexts: Neoanalysis and the Interpretation of Oral Poetry</w:t>
      </w:r>
      <w:r w:rsidRPr="002A34A5">
        <w:rPr>
          <w:sz w:val="22"/>
          <w:szCs w:val="22"/>
          <w:lang w:eastAsia="en-GB"/>
        </w:rPr>
        <w:t xml:space="preserve"> </w:t>
      </w:r>
      <w:r w:rsidRPr="002A34A5">
        <w:rPr>
          <w:rStyle w:val="Roman"/>
          <w:sz w:val="22"/>
          <w:szCs w:val="22"/>
        </w:rPr>
        <w:t xml:space="preserve">= </w:t>
      </w:r>
      <w:r w:rsidRPr="002A34A5">
        <w:rPr>
          <w:rStyle w:val="Roman"/>
          <w:i/>
          <w:sz w:val="22"/>
          <w:szCs w:val="22"/>
        </w:rPr>
        <w:t>Trends in Classics Supplementary Volumes</w:t>
      </w:r>
      <w:r w:rsidRPr="002A34A5">
        <w:rPr>
          <w:rStyle w:val="Roman"/>
          <w:sz w:val="22"/>
          <w:szCs w:val="22"/>
        </w:rPr>
        <w:t xml:space="preserve"> 12 (</w:t>
      </w:r>
      <w:smartTag w:uri="urn:schemas-microsoft-com:office:smarttags" w:element="State">
        <w:r w:rsidRPr="002A34A5">
          <w:rPr>
            <w:rStyle w:val="Roman"/>
            <w:sz w:val="22"/>
            <w:szCs w:val="22"/>
          </w:rPr>
          <w:t>Berlin</w:t>
        </w:r>
      </w:smartTag>
      <w:r w:rsidRPr="002A34A5">
        <w:rPr>
          <w:rStyle w:val="Roman"/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2A34A5">
            <w:rPr>
              <w:rStyle w:val="Roman"/>
              <w:sz w:val="22"/>
              <w:szCs w:val="22"/>
            </w:rPr>
            <w:t>Boston</w:t>
          </w:r>
        </w:smartTag>
      </w:smartTag>
      <w:r w:rsidRPr="002A34A5">
        <w:rPr>
          <w:rStyle w:val="Roman"/>
          <w:sz w:val="22"/>
          <w:szCs w:val="22"/>
        </w:rPr>
        <w:t>: DeGruyter, 2012): 543-80.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  <w:szCs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sz w:val="22"/>
          <w:szCs w:val="22"/>
        </w:rPr>
      </w:pPr>
      <w:r w:rsidRPr="002A34A5">
        <w:rPr>
          <w:rStyle w:val="Roman"/>
          <w:sz w:val="22"/>
          <w:szCs w:val="22"/>
        </w:rPr>
        <w:t xml:space="preserve"> ‘Hesiod on Human History’, in: L. </w:t>
      </w:r>
      <w:r w:rsidRPr="002A34A5">
        <w:rPr>
          <w:sz w:val="22"/>
          <w:szCs w:val="22"/>
        </w:rPr>
        <w:t>Llewellyn-Jones, J. Marincola and C. A. Maciver (eds.),</w:t>
      </w:r>
      <w:r w:rsidRPr="002A34A5">
        <w:rPr>
          <w:rStyle w:val="Roman"/>
          <w:sz w:val="22"/>
          <w:szCs w:val="22"/>
        </w:rPr>
        <w:t xml:space="preserve"> </w:t>
      </w:r>
      <w:r w:rsidRPr="002A34A5">
        <w:rPr>
          <w:rStyle w:val="Emphasis"/>
          <w:sz w:val="22"/>
          <w:szCs w:val="22"/>
        </w:rPr>
        <w:t>History without Historians: Greeks and their Past in the Archaic and Classical Age</w:t>
      </w:r>
      <w:r w:rsidRPr="002A34A5">
        <w:rPr>
          <w:sz w:val="22"/>
          <w:szCs w:val="22"/>
        </w:rPr>
        <w:t xml:space="preserve">: </w:t>
      </w:r>
      <w:smartTag w:uri="urn:schemas-microsoft-com:office:smarttags" w:element="City">
        <w:r w:rsidRPr="002A34A5">
          <w:rPr>
            <w:sz w:val="22"/>
            <w:szCs w:val="22"/>
          </w:rPr>
          <w:t>Edinburgh</w:t>
        </w:r>
      </w:smartTag>
      <w:r w:rsidRPr="002A34A5">
        <w:rPr>
          <w:sz w:val="22"/>
          <w:szCs w:val="22"/>
        </w:rPr>
        <w:t xml:space="preserve"> Leventis Studies (</w:t>
      </w:r>
      <w:smartTag w:uri="urn:schemas-microsoft-com:office:smarttags" w:element="City">
        <w:r w:rsidRPr="002A34A5">
          <w:rPr>
            <w:sz w:val="22"/>
            <w:szCs w:val="22"/>
          </w:rPr>
          <w:t>Edinburgh</w:t>
        </w:r>
      </w:smartTag>
      <w:r w:rsidRPr="002A34A5">
        <w:rPr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A34A5">
            <w:rPr>
              <w:sz w:val="22"/>
              <w:szCs w:val="22"/>
            </w:rPr>
            <w:t>Edinburgh</w:t>
          </w:r>
        </w:smartTag>
        <w:r w:rsidRPr="002A34A5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A34A5">
            <w:rPr>
              <w:sz w:val="22"/>
              <w:szCs w:val="22"/>
            </w:rPr>
            <w:t>University</w:t>
          </w:r>
        </w:smartTag>
      </w:smartTag>
      <w:r w:rsidRPr="002A34A5">
        <w:rPr>
          <w:sz w:val="22"/>
          <w:szCs w:val="22"/>
        </w:rPr>
        <w:t xml:space="preserve"> Press, 2012): 37-64.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  <w:szCs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sz w:val="22"/>
          <w:szCs w:val="22"/>
        </w:rPr>
      </w:pPr>
      <w:r w:rsidRPr="002A34A5">
        <w:rPr>
          <w:rStyle w:val="Roman"/>
          <w:sz w:val="22"/>
          <w:szCs w:val="22"/>
        </w:rPr>
        <w:t xml:space="preserve"> ‘</w:t>
      </w:r>
      <w:r w:rsidRPr="002A34A5">
        <w:rPr>
          <w:sz w:val="22"/>
          <w:szCs w:val="22"/>
        </w:rPr>
        <w:t>The</w:t>
      </w:r>
      <w:r w:rsidRPr="002A34A5">
        <w:rPr>
          <w:noProof/>
          <w:sz w:val="22"/>
          <w:szCs w:val="22"/>
        </w:rPr>
        <w:t xml:space="preserve"> Genitive</w:t>
      </w:r>
      <w:r w:rsidRPr="002A34A5">
        <w:rPr>
          <w:sz w:val="22"/>
          <w:szCs w:val="22"/>
        </w:rPr>
        <w:t xml:space="preserve"> </w:t>
      </w:r>
      <w:r w:rsidRPr="002A34A5">
        <w:rPr>
          <w:noProof/>
          <w:sz w:val="22"/>
          <w:szCs w:val="22"/>
          <w:lang w:val="el-GR"/>
        </w:rPr>
        <w:t>Ὀδυσεῦς</w:t>
      </w:r>
      <w:r w:rsidRPr="002A34A5">
        <w:rPr>
          <w:sz w:val="22"/>
          <w:szCs w:val="22"/>
        </w:rPr>
        <w:t xml:space="preserve"> (</w:t>
      </w:r>
      <w:r w:rsidRPr="002A34A5">
        <w:rPr>
          <w:i/>
          <w:sz w:val="22"/>
          <w:szCs w:val="22"/>
        </w:rPr>
        <w:t>Od</w:t>
      </w:r>
      <w:r w:rsidRPr="002A34A5">
        <w:rPr>
          <w:sz w:val="22"/>
          <w:szCs w:val="22"/>
        </w:rPr>
        <w:t xml:space="preserve">. 24.398) and </w:t>
      </w:r>
      <w:r w:rsidRPr="002A34A5">
        <w:rPr>
          <w:noProof/>
          <w:sz w:val="22"/>
          <w:szCs w:val="22"/>
        </w:rPr>
        <w:t xml:space="preserve">Homer’s “Awkward” Parentheses’, </w:t>
      </w:r>
      <w:r w:rsidRPr="002A34A5">
        <w:rPr>
          <w:rStyle w:val="Roman"/>
          <w:i/>
          <w:sz w:val="22"/>
          <w:szCs w:val="22"/>
        </w:rPr>
        <w:t>Journal of Hellenic Studies</w:t>
      </w:r>
      <w:r w:rsidRPr="002A34A5">
        <w:rPr>
          <w:rStyle w:val="Roman"/>
          <w:sz w:val="22"/>
          <w:szCs w:val="22"/>
        </w:rPr>
        <w:t xml:space="preserve"> 133 (2013) 21-42.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  <w:szCs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sz w:val="22"/>
          <w:szCs w:val="22"/>
        </w:rPr>
      </w:pPr>
      <w:r w:rsidRPr="002A34A5">
        <w:rPr>
          <w:rStyle w:val="Roman"/>
          <w:sz w:val="22"/>
          <w:szCs w:val="22"/>
        </w:rPr>
        <w:t xml:space="preserve"> ‘</w:t>
      </w:r>
      <w:r w:rsidRPr="002A34A5">
        <w:rPr>
          <w:sz w:val="22"/>
          <w:szCs w:val="22"/>
        </w:rPr>
        <w:t>The Pindaric First Person in Flux</w:t>
      </w:r>
      <w:r w:rsidRPr="002A34A5">
        <w:rPr>
          <w:rStyle w:val="Roman"/>
          <w:sz w:val="22"/>
          <w:szCs w:val="22"/>
        </w:rPr>
        <w:t xml:space="preserve">’, </w:t>
      </w:r>
      <w:r w:rsidRPr="002A34A5">
        <w:rPr>
          <w:rStyle w:val="Roman"/>
          <w:i/>
          <w:sz w:val="22"/>
          <w:szCs w:val="22"/>
        </w:rPr>
        <w:t>Classical Antiquity</w:t>
      </w:r>
      <w:r w:rsidRPr="002A34A5">
        <w:rPr>
          <w:sz w:val="22"/>
          <w:szCs w:val="22"/>
        </w:rPr>
        <w:t xml:space="preserve"> 32.2 (2013) 243-82.</w:t>
      </w:r>
    </w:p>
    <w:p w:rsidR="002A34A5" w:rsidRDefault="002A34A5" w:rsidP="005B3C7A">
      <w:pPr>
        <w:spacing w:line="276" w:lineRule="auto"/>
        <w:ind w:left="720" w:hanging="720"/>
        <w:rPr>
          <w:rStyle w:val="Roman"/>
          <w:sz w:val="22"/>
          <w:szCs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sz w:val="22"/>
          <w:szCs w:val="22"/>
        </w:rPr>
      </w:pPr>
      <w:r w:rsidRPr="002A34A5">
        <w:rPr>
          <w:rStyle w:val="Roman"/>
          <w:sz w:val="22"/>
          <w:szCs w:val="22"/>
        </w:rPr>
        <w:t xml:space="preserve"> ‘</w:t>
      </w:r>
      <w:r w:rsidRPr="002A34A5">
        <w:rPr>
          <w:sz w:val="22"/>
          <w:szCs w:val="22"/>
        </w:rPr>
        <w:t xml:space="preserve">The </w:t>
      </w:r>
      <w:r w:rsidRPr="002A34A5">
        <w:rPr>
          <w:i/>
          <w:sz w:val="22"/>
          <w:szCs w:val="22"/>
        </w:rPr>
        <w:t>Cypria</w:t>
      </w:r>
      <w:r w:rsidRPr="002A34A5">
        <w:rPr>
          <w:sz w:val="22"/>
          <w:szCs w:val="22"/>
        </w:rPr>
        <w:t xml:space="preserve">’, in M. Fantuzzi and C. Tsagalis (eds.), </w:t>
      </w:r>
      <w:r w:rsidRPr="002A34A5">
        <w:rPr>
          <w:i/>
          <w:sz w:val="22"/>
          <w:szCs w:val="22"/>
        </w:rPr>
        <w:t>The Greek Epic Cycle</w:t>
      </w:r>
      <w:r w:rsidRPr="002A34A5">
        <w:rPr>
          <w:sz w:val="22"/>
          <w:szCs w:val="22"/>
        </w:rPr>
        <w:t xml:space="preserve"> </w:t>
      </w:r>
      <w:r w:rsidRPr="002A34A5">
        <w:rPr>
          <w:i/>
          <w:sz w:val="22"/>
          <w:szCs w:val="22"/>
        </w:rPr>
        <w:t>and its Ancient Reception: A Companion</w:t>
      </w:r>
      <w:r w:rsidRPr="002A34A5">
        <w:rPr>
          <w:sz w:val="22"/>
          <w:szCs w:val="22"/>
        </w:rPr>
        <w:t xml:space="preserve">  (Cambridge: CUP, 2015) 281-305.</w:t>
      </w:r>
    </w:p>
    <w:p w:rsidR="002A34A5" w:rsidRDefault="002A34A5" w:rsidP="005B3C7A">
      <w:pPr>
        <w:spacing w:line="276" w:lineRule="auto"/>
        <w:ind w:left="720" w:hanging="720"/>
        <w:rPr>
          <w:sz w:val="20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sz w:val="22"/>
          <w:szCs w:val="22"/>
        </w:rPr>
      </w:pPr>
      <w:r w:rsidRPr="002A34A5">
        <w:rPr>
          <w:sz w:val="20"/>
        </w:rPr>
        <w:t xml:space="preserve"> </w:t>
      </w:r>
      <w:r w:rsidRPr="002A34A5">
        <w:rPr>
          <w:sz w:val="22"/>
          <w:szCs w:val="22"/>
        </w:rPr>
        <w:t xml:space="preserve">‘Festival, Symposium, and Epinician (Re)performance: The Case of </w:t>
      </w:r>
      <w:r w:rsidRPr="002A34A5">
        <w:rPr>
          <w:i/>
          <w:sz w:val="22"/>
          <w:szCs w:val="22"/>
        </w:rPr>
        <w:t>Nemean</w:t>
      </w:r>
      <w:r w:rsidRPr="002A34A5">
        <w:rPr>
          <w:sz w:val="22"/>
          <w:szCs w:val="22"/>
        </w:rPr>
        <w:t xml:space="preserve"> 4 and Others’, in R. L. Hunter and A. Uhlig (eds.), </w:t>
      </w:r>
      <w:r w:rsidRPr="002A34A5">
        <w:rPr>
          <w:i/>
          <w:color w:val="000000"/>
          <w:sz w:val="22"/>
          <w:szCs w:val="22"/>
        </w:rPr>
        <w:t>Imagining Reperformance in Ancient Culture: Studies in the Traditions of Drama and Lyric</w:t>
      </w:r>
      <w:r w:rsidRPr="002A34A5">
        <w:rPr>
          <w:sz w:val="22"/>
          <w:szCs w:val="22"/>
        </w:rPr>
        <w:t xml:space="preserve"> (Cambridge: CUP, 2017): 187-208.</w:t>
      </w:r>
    </w:p>
    <w:p w:rsidR="002A34A5" w:rsidRDefault="002A34A5" w:rsidP="005B3C7A">
      <w:pPr>
        <w:spacing w:line="276" w:lineRule="auto"/>
        <w:ind w:left="720" w:hanging="720"/>
        <w:rPr>
          <w:sz w:val="20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i/>
          <w:sz w:val="22"/>
          <w:szCs w:val="22"/>
        </w:rPr>
      </w:pPr>
      <w:r w:rsidRPr="002A34A5">
        <w:rPr>
          <w:sz w:val="20"/>
        </w:rPr>
        <w:t xml:space="preserve"> </w:t>
      </w:r>
      <w:r w:rsidRPr="002A34A5">
        <w:rPr>
          <w:rStyle w:val="Roman"/>
          <w:sz w:val="22"/>
        </w:rPr>
        <w:t xml:space="preserve">‘Pindar and Bacchylides’, in E. van Emde Boas and K. de Temmerman (eds.), </w:t>
      </w:r>
      <w:r w:rsidRPr="002A34A5">
        <w:rPr>
          <w:rStyle w:val="Roman"/>
          <w:i/>
          <w:sz w:val="22"/>
        </w:rPr>
        <w:t>Characterization in Ancient Greek Literature. Studies in Ancient Greek Narrative, Volume four</w:t>
      </w:r>
      <w:r w:rsidRPr="002A34A5">
        <w:rPr>
          <w:rStyle w:val="Roman"/>
          <w:sz w:val="22"/>
        </w:rPr>
        <w:t xml:space="preserve"> (Leiden and Boston: Brill, 2017): 293-314.</w:t>
      </w:r>
    </w:p>
    <w:p w:rsidR="004F131B" w:rsidRPr="002A34A5" w:rsidRDefault="004F131B" w:rsidP="005B3C7A">
      <w:pPr>
        <w:spacing w:line="276" w:lineRule="auto"/>
        <w:ind w:left="720" w:hanging="720"/>
        <w:rPr>
          <w:sz w:val="22"/>
        </w:rPr>
      </w:pPr>
    </w:p>
    <w:p w:rsidR="005B3C7A" w:rsidRDefault="005B3C7A" w:rsidP="005B3C7A">
      <w:pPr>
        <w:spacing w:line="276" w:lineRule="auto"/>
        <w:ind w:left="720" w:hanging="720"/>
        <w:rPr>
          <w:b/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</w:rPr>
      </w:pPr>
      <w:r w:rsidRPr="002A34A5">
        <w:rPr>
          <w:b/>
          <w:sz w:val="22"/>
        </w:rPr>
        <w:t>Articles and book chapters</w:t>
      </w:r>
      <w:r w:rsidRPr="002A34A5">
        <w:rPr>
          <w:rStyle w:val="Roman"/>
          <w:sz w:val="22"/>
        </w:rPr>
        <w:t xml:space="preserve">, </w:t>
      </w:r>
      <w:r w:rsidRPr="002A34A5">
        <w:rPr>
          <w:rStyle w:val="Roman"/>
          <w:b/>
          <w:sz w:val="22"/>
        </w:rPr>
        <w:t>forthcoming</w:t>
      </w: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  <w:szCs w:val="22"/>
        </w:rPr>
      </w:pPr>
      <w:r w:rsidRPr="002A34A5">
        <w:rPr>
          <w:sz w:val="20"/>
        </w:rPr>
        <w:t xml:space="preserve"> </w:t>
      </w:r>
      <w:r w:rsidRPr="002A34A5">
        <w:rPr>
          <w:rStyle w:val="Roman"/>
          <w:sz w:val="22"/>
        </w:rPr>
        <w:t>‘</w:t>
      </w:r>
      <w:r w:rsidRPr="002A34A5">
        <w:rPr>
          <w:sz w:val="22"/>
          <w:szCs w:val="22"/>
        </w:rPr>
        <w:t xml:space="preserve">The </w:t>
      </w:r>
      <w:r w:rsidRPr="002A34A5">
        <w:rPr>
          <w:i/>
          <w:sz w:val="22"/>
          <w:szCs w:val="22"/>
        </w:rPr>
        <w:t>Iliad</w:t>
      </w:r>
      <w:r w:rsidRPr="002A34A5">
        <w:rPr>
          <w:sz w:val="22"/>
          <w:szCs w:val="22"/>
        </w:rPr>
        <w:t xml:space="preserve">, the </w:t>
      </w:r>
      <w:r w:rsidRPr="002A34A5">
        <w:rPr>
          <w:i/>
          <w:sz w:val="22"/>
          <w:szCs w:val="22"/>
        </w:rPr>
        <w:t>Odyssey</w:t>
      </w:r>
      <w:r w:rsidRPr="002A34A5">
        <w:rPr>
          <w:sz w:val="22"/>
          <w:szCs w:val="22"/>
        </w:rPr>
        <w:t xml:space="preserve">, and narratological intertextuality’, in S. Bär and A. Maravela (eds.), </w:t>
      </w:r>
      <w:r w:rsidRPr="002A34A5">
        <w:rPr>
          <w:i/>
          <w:sz w:val="22"/>
          <w:szCs w:val="22"/>
        </w:rPr>
        <w:t>Narratology and Intertextuality</w:t>
      </w:r>
      <w:r w:rsidRPr="002A34A5">
        <w:rPr>
          <w:sz w:val="22"/>
          <w:szCs w:val="22"/>
        </w:rPr>
        <w:t xml:space="preserve">. Special issue of </w:t>
      </w:r>
      <w:r w:rsidRPr="002A34A5">
        <w:rPr>
          <w:i/>
          <w:iCs/>
          <w:sz w:val="22"/>
          <w:szCs w:val="22"/>
          <w:lang w:val="de-DE"/>
        </w:rPr>
        <w:t>Symbolae Osloenses</w:t>
      </w:r>
      <w:r w:rsidRPr="002A34A5">
        <w:rPr>
          <w:sz w:val="22"/>
          <w:szCs w:val="22"/>
          <w:lang w:val="de-DE"/>
        </w:rPr>
        <w:t xml:space="preserve"> 92: 2018.</w:t>
      </w:r>
    </w:p>
    <w:p w:rsidR="002A34A5" w:rsidRDefault="002A34A5" w:rsidP="005B3C7A">
      <w:pPr>
        <w:spacing w:line="276" w:lineRule="auto"/>
        <w:ind w:left="720" w:hanging="720"/>
        <w:rPr>
          <w:sz w:val="20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</w:rPr>
      </w:pPr>
      <w:r w:rsidRPr="002A34A5">
        <w:rPr>
          <w:sz w:val="20"/>
        </w:rPr>
        <w:t xml:space="preserve"> </w:t>
      </w:r>
      <w:r w:rsidRPr="002A34A5">
        <w:rPr>
          <w:rStyle w:val="Roman"/>
          <w:sz w:val="22"/>
        </w:rPr>
        <w:t xml:space="preserve">‘Etana in Greece’, in C. Metcalf and A. Kelly (eds.), </w:t>
      </w:r>
      <w:r w:rsidRPr="002A34A5">
        <w:rPr>
          <w:rStyle w:val="Roman"/>
          <w:i/>
          <w:sz w:val="22"/>
        </w:rPr>
        <w:t>Divine Narratives in Early Greece and the Ancient Near East</w:t>
      </w:r>
      <w:r w:rsidRPr="002A34A5">
        <w:rPr>
          <w:rStyle w:val="Roman"/>
          <w:sz w:val="22"/>
        </w:rPr>
        <w:t xml:space="preserve"> (Cambridge: CUP).</w:t>
      </w:r>
    </w:p>
    <w:p w:rsidR="002A34A5" w:rsidRDefault="002A34A5" w:rsidP="005B3C7A">
      <w:pPr>
        <w:spacing w:line="276" w:lineRule="auto"/>
        <w:ind w:left="720" w:hanging="720"/>
        <w:rPr>
          <w:sz w:val="20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color w:val="000000"/>
          <w:sz w:val="22"/>
          <w:szCs w:val="22"/>
        </w:rPr>
      </w:pPr>
      <w:r w:rsidRPr="002A34A5">
        <w:rPr>
          <w:sz w:val="20"/>
        </w:rPr>
        <w:t xml:space="preserve"> </w:t>
      </w:r>
      <w:r w:rsidRPr="002A34A5">
        <w:rPr>
          <w:rStyle w:val="Roman"/>
          <w:sz w:val="22"/>
        </w:rPr>
        <w:t>‘</w:t>
      </w:r>
      <w:r w:rsidRPr="002A34A5">
        <w:rPr>
          <w:sz w:val="22"/>
          <w:szCs w:val="22"/>
        </w:rPr>
        <w:t xml:space="preserve">The Birth of Literary Criticism (Herodotus 2.116-117) and the Roots of Homeric Neoanalysis’. Publication anticipated in J. Price and R. Zelnick-Abramovitz (eds.), </w:t>
      </w:r>
      <w:r w:rsidRPr="002A34A5">
        <w:rPr>
          <w:i/>
          <w:color w:val="000000"/>
          <w:sz w:val="22"/>
          <w:szCs w:val="22"/>
        </w:rPr>
        <w:t>Language and Text: Essays in Honor of Margalit Finkelberg</w:t>
      </w:r>
      <w:r w:rsidRPr="002A34A5">
        <w:rPr>
          <w:color w:val="000000"/>
          <w:sz w:val="22"/>
          <w:szCs w:val="22"/>
        </w:rPr>
        <w:t xml:space="preserve"> (London: Routledge).</w:t>
      </w:r>
    </w:p>
    <w:p w:rsidR="002A34A5" w:rsidRDefault="002A34A5" w:rsidP="005B3C7A">
      <w:pPr>
        <w:spacing w:line="276" w:lineRule="auto"/>
        <w:ind w:left="720" w:hanging="720"/>
        <w:rPr>
          <w:sz w:val="20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  <w:szCs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rPr>
          <w:rStyle w:val="Roman"/>
          <w:b/>
          <w:sz w:val="22"/>
        </w:rPr>
      </w:pPr>
      <w:r w:rsidRPr="002A34A5">
        <w:rPr>
          <w:rStyle w:val="Roman"/>
          <w:b/>
          <w:sz w:val="22"/>
        </w:rPr>
        <w:t>Reviews</w:t>
      </w:r>
    </w:p>
    <w:p w:rsidR="004F131B" w:rsidRPr="002A34A5" w:rsidRDefault="004F131B" w:rsidP="005B3C7A">
      <w:pPr>
        <w:spacing w:line="276" w:lineRule="auto"/>
        <w:ind w:left="720" w:hanging="720"/>
        <w:rPr>
          <w:sz w:val="22"/>
        </w:rPr>
      </w:pPr>
      <w:r w:rsidRPr="002A34A5">
        <w:rPr>
          <w:rStyle w:val="Roman"/>
          <w:sz w:val="22"/>
        </w:rPr>
        <w:t xml:space="preserve"> G. Ekroth </w:t>
      </w:r>
      <w:r w:rsidRPr="002A34A5">
        <w:rPr>
          <w:rStyle w:val="Roman"/>
          <w:i/>
          <w:iCs/>
          <w:sz w:val="22"/>
        </w:rPr>
        <w:t>The Sacrificial Rituals of Greek Hero-Cults</w:t>
      </w:r>
      <w:r w:rsidRPr="002A34A5">
        <w:rPr>
          <w:sz w:val="22"/>
        </w:rPr>
        <w:t xml:space="preserve"> (Liège 2002), in: </w:t>
      </w:r>
      <w:r w:rsidRPr="002A34A5">
        <w:rPr>
          <w:rStyle w:val="Roman"/>
          <w:i/>
          <w:iCs/>
          <w:sz w:val="22"/>
        </w:rPr>
        <w:t>Journal of Hellenic Studies</w:t>
      </w:r>
      <w:r w:rsidRPr="002A34A5">
        <w:rPr>
          <w:rStyle w:val="Roman"/>
          <w:sz w:val="22"/>
        </w:rPr>
        <w:t xml:space="preserve"> 123: 2003: </w:t>
      </w:r>
      <w:r w:rsidRPr="002A34A5">
        <w:rPr>
          <w:sz w:val="22"/>
        </w:rPr>
        <w:t>238-41</w:t>
      </w:r>
    </w:p>
    <w:p w:rsidR="004F131B" w:rsidRPr="002A34A5" w:rsidRDefault="004F131B" w:rsidP="005B3C7A">
      <w:pPr>
        <w:spacing w:line="276" w:lineRule="auto"/>
        <w:ind w:left="720" w:hanging="720"/>
        <w:rPr>
          <w:sz w:val="22"/>
        </w:rPr>
      </w:pPr>
      <w:r w:rsidRPr="002A34A5">
        <w:rPr>
          <w:rStyle w:val="Roman"/>
          <w:sz w:val="22"/>
        </w:rPr>
        <w:t xml:space="preserve"> </w:t>
      </w:r>
      <w:r w:rsidRPr="002A34A5">
        <w:rPr>
          <w:sz w:val="22"/>
        </w:rPr>
        <w:t xml:space="preserve">S. Hornblower </w:t>
      </w:r>
      <w:r w:rsidRPr="002A34A5">
        <w:rPr>
          <w:i/>
          <w:iCs/>
          <w:sz w:val="22"/>
        </w:rPr>
        <w:t>Thucydides and Pindar. Historical Narrative and the World of Epinikian Poetry</w:t>
      </w:r>
      <w:r w:rsidRPr="002A34A5">
        <w:rPr>
          <w:sz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2A34A5">
            <w:rPr>
              <w:sz w:val="22"/>
            </w:rPr>
            <w:t>Oxford</w:t>
          </w:r>
        </w:smartTag>
      </w:smartTag>
      <w:r w:rsidRPr="002A34A5">
        <w:rPr>
          <w:sz w:val="22"/>
        </w:rPr>
        <w:t xml:space="preserve">, 2004), in: </w:t>
      </w:r>
      <w:r w:rsidRPr="002A34A5">
        <w:rPr>
          <w:i/>
          <w:sz w:val="22"/>
          <w:szCs w:val="24"/>
        </w:rPr>
        <w:t>Bryn Mawr Classical Review</w:t>
      </w:r>
      <w:r w:rsidRPr="002A34A5">
        <w:rPr>
          <w:sz w:val="22"/>
          <w:szCs w:val="24"/>
        </w:rPr>
        <w:t xml:space="preserve"> 2006.01.36 (</w:t>
      </w:r>
      <w:r w:rsidRPr="002A34A5">
        <w:rPr>
          <w:sz w:val="22"/>
        </w:rPr>
        <w:t>http://ccat.sas.upenn.edu/bmcr/2006/2006-01-36.html)</w:t>
      </w:r>
    </w:p>
    <w:p w:rsidR="004F131B" w:rsidRPr="002A34A5" w:rsidRDefault="004F131B" w:rsidP="005B3C7A">
      <w:pPr>
        <w:spacing w:line="276" w:lineRule="auto"/>
        <w:ind w:left="720" w:hanging="720"/>
        <w:jc w:val="both"/>
        <w:rPr>
          <w:sz w:val="22"/>
        </w:rPr>
      </w:pPr>
      <w:r w:rsidRPr="002A34A5">
        <w:rPr>
          <w:rStyle w:val="Roman"/>
          <w:sz w:val="22"/>
        </w:rPr>
        <w:t xml:space="preserve"> </w:t>
      </w:r>
      <w:r w:rsidRPr="002A34A5">
        <w:rPr>
          <w:bCs/>
          <w:sz w:val="22"/>
        </w:rPr>
        <w:t>Obituary:</w:t>
      </w:r>
      <w:r w:rsidRPr="002A34A5">
        <w:rPr>
          <w:sz w:val="22"/>
        </w:rPr>
        <w:t xml:space="preserve"> R. O. A. M. Lyne, in: </w:t>
      </w:r>
      <w:r w:rsidRPr="002A34A5">
        <w:rPr>
          <w:i/>
          <w:iCs/>
          <w:sz w:val="22"/>
        </w:rPr>
        <w:t>The Independent</w:t>
      </w:r>
      <w:r w:rsidRPr="002A34A5">
        <w:rPr>
          <w:iCs/>
          <w:sz w:val="22"/>
        </w:rPr>
        <w:t xml:space="preserve">, </w:t>
      </w:r>
      <w:smartTag w:uri="urn:schemas-microsoft-com:office:smarttags" w:element="date">
        <w:smartTagPr>
          <w:attr w:name="Month" w:val="4"/>
          <w:attr w:name="Day" w:val="1"/>
          <w:attr w:name="Year" w:val="2005"/>
        </w:smartTagPr>
        <w:r w:rsidRPr="002A34A5">
          <w:rPr>
            <w:iCs/>
            <w:sz w:val="22"/>
          </w:rPr>
          <w:t>1 April 2005</w:t>
        </w:r>
      </w:smartTag>
    </w:p>
    <w:p w:rsidR="004F131B" w:rsidRPr="002A34A5" w:rsidRDefault="004F131B" w:rsidP="005B3C7A">
      <w:pPr>
        <w:spacing w:line="276" w:lineRule="auto"/>
        <w:ind w:left="720" w:hanging="720"/>
        <w:jc w:val="both"/>
        <w:rPr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jc w:val="both"/>
        <w:rPr>
          <w:sz w:val="22"/>
        </w:rPr>
      </w:pPr>
    </w:p>
    <w:p w:rsidR="004F131B" w:rsidRPr="002A34A5" w:rsidRDefault="004F131B" w:rsidP="005B3C7A">
      <w:pPr>
        <w:spacing w:line="276" w:lineRule="auto"/>
        <w:ind w:left="720" w:hanging="720"/>
        <w:jc w:val="both"/>
        <w:rPr>
          <w:sz w:val="22"/>
        </w:rPr>
      </w:pPr>
    </w:p>
    <w:p w:rsidR="0069786F" w:rsidRPr="002A34A5" w:rsidRDefault="0069786F" w:rsidP="005B3C7A">
      <w:pPr>
        <w:spacing w:line="276" w:lineRule="auto"/>
        <w:ind w:left="720" w:hanging="720"/>
        <w:jc w:val="both"/>
        <w:rPr>
          <w:sz w:val="22"/>
        </w:rPr>
      </w:pPr>
    </w:p>
    <w:sectPr w:rsidR="0069786F" w:rsidRPr="002A34A5">
      <w:headerReference w:type="even" r:id="rId6"/>
      <w:footerReference w:type="even" r:id="rId7"/>
      <w:footerReference w:type="default" r:id="rId8"/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43E3">
      <w:r>
        <w:separator/>
      </w:r>
    </w:p>
  </w:endnote>
  <w:endnote w:type="continuationSeparator" w:id="0">
    <w:p w:rsidR="00000000" w:rsidRDefault="00B5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9A" w:rsidRDefault="005B3C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69A" w:rsidRDefault="00B54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9A" w:rsidRDefault="005B3C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3E3">
      <w:rPr>
        <w:rStyle w:val="PageNumber"/>
        <w:noProof/>
      </w:rPr>
      <w:t>1</w:t>
    </w:r>
    <w:r>
      <w:rPr>
        <w:rStyle w:val="PageNumber"/>
      </w:rPr>
      <w:fldChar w:fldCharType="end"/>
    </w:r>
  </w:p>
  <w:p w:rsidR="0089169A" w:rsidRDefault="00B54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43E3">
      <w:r>
        <w:separator/>
      </w:r>
    </w:p>
  </w:footnote>
  <w:footnote w:type="continuationSeparator" w:id="0">
    <w:p w:rsidR="00000000" w:rsidRDefault="00B5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9A" w:rsidRDefault="005B3C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69A" w:rsidRDefault="00B54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1B"/>
    <w:rsid w:val="002A34A5"/>
    <w:rsid w:val="004F131B"/>
    <w:rsid w:val="005B3C7A"/>
    <w:rsid w:val="0069786F"/>
    <w:rsid w:val="00B5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01B77-F9E3-482F-B7DA-F11AC536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F131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131B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F1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131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F131B"/>
  </w:style>
  <w:style w:type="character" w:customStyle="1" w:styleId="Roman">
    <w:name w:val="Roman"/>
    <w:rsid w:val="004F131B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rsid w:val="004F1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131B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4F1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846</Words>
  <Characters>4826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Currie</dc:creator>
  <cp:keywords/>
  <dc:description/>
  <cp:lastModifiedBy>Catherine Sorrel Conisbee</cp:lastModifiedBy>
  <cp:revision>2</cp:revision>
  <dcterms:created xsi:type="dcterms:W3CDTF">2018-04-04T08:57:00Z</dcterms:created>
  <dcterms:modified xsi:type="dcterms:W3CDTF">2018-04-04T08:57:00Z</dcterms:modified>
</cp:coreProperties>
</file>