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61331" w14:textId="77777777" w:rsidR="00D06E0A" w:rsidRDefault="00D06E0A" w:rsidP="006A7F48">
      <w:pPr>
        <w:pStyle w:val="xmsonormal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334DF6CD" w14:textId="77777777" w:rsidR="00D06E0A" w:rsidRPr="00736CB8" w:rsidRDefault="001E0238" w:rsidP="00D06E0A">
      <w:pPr>
        <w:tabs>
          <w:tab w:val="left" w:pos="360"/>
        </w:tabs>
        <w:ind w:right="180"/>
        <w:contextualSpacing/>
      </w:pPr>
      <w:hyperlink r:id="rId4" w:history="1">
        <w:r w:rsidR="00D06E0A" w:rsidRPr="00736CB8">
          <w:rPr>
            <w:rStyle w:val="Hyperlink"/>
            <w:i/>
          </w:rPr>
          <w:t>Pindar and the Poetics of Permanence</w:t>
        </w:r>
      </w:hyperlink>
      <w:r w:rsidR="00D06E0A" w:rsidRPr="00736CB8">
        <w:t xml:space="preserve"> (OUP; 2018).  </w:t>
      </w:r>
    </w:p>
    <w:p w14:paraId="5101E84B" w14:textId="77777777" w:rsidR="00D06E0A" w:rsidRPr="00736CB8" w:rsidRDefault="00D06E0A" w:rsidP="00D06E0A">
      <w:pPr>
        <w:tabs>
          <w:tab w:val="left" w:pos="360"/>
        </w:tabs>
        <w:ind w:right="180"/>
        <w:contextualSpacing/>
      </w:pPr>
    </w:p>
    <w:p w14:paraId="51396C92" w14:textId="77777777" w:rsidR="00D06E0A" w:rsidRPr="00736CB8" w:rsidRDefault="00D06E0A" w:rsidP="00D06E0A">
      <w:pPr>
        <w:widowControl w:val="0"/>
        <w:tabs>
          <w:tab w:val="left" w:pos="360"/>
          <w:tab w:val="right" w:pos="7460"/>
        </w:tabs>
        <w:autoSpaceDE w:val="0"/>
        <w:autoSpaceDN w:val="0"/>
        <w:adjustRightInd w:val="0"/>
        <w:ind w:right="180"/>
        <w:contextualSpacing/>
      </w:pPr>
      <w:r w:rsidRPr="00736CB8">
        <w:t>‘</w:t>
      </w:r>
      <w:hyperlink r:id="rId5" w:history="1">
        <w:r w:rsidRPr="00736CB8">
          <w:rPr>
            <w:rStyle w:val="Hyperlink"/>
          </w:rPr>
          <w:t xml:space="preserve">Placing Aphrodite: Alcaeus </w:t>
        </w:r>
        <w:proofErr w:type="spellStart"/>
        <w:r w:rsidRPr="00736CB8">
          <w:rPr>
            <w:rStyle w:val="Hyperlink"/>
          </w:rPr>
          <w:t>fr.</w:t>
        </w:r>
        <w:proofErr w:type="spellEnd"/>
        <w:r w:rsidRPr="00736CB8">
          <w:rPr>
            <w:rStyle w:val="Hyperlink"/>
          </w:rPr>
          <w:t xml:space="preserve"> 296b and Horace </w:t>
        </w:r>
        <w:r w:rsidRPr="00736CB8">
          <w:rPr>
            <w:rStyle w:val="Hyperlink"/>
            <w:i/>
          </w:rPr>
          <w:t>C</w:t>
        </w:r>
        <w:r w:rsidRPr="00736CB8">
          <w:rPr>
            <w:rStyle w:val="Hyperlink"/>
          </w:rPr>
          <w:t>. 4.1</w:t>
        </w:r>
      </w:hyperlink>
      <w:r w:rsidRPr="00736CB8">
        <w:t xml:space="preserve">’: </w:t>
      </w:r>
      <w:proofErr w:type="spellStart"/>
      <w:r w:rsidRPr="00736CB8">
        <w:rPr>
          <w:i/>
        </w:rPr>
        <w:t>Zeitschrift</w:t>
      </w:r>
      <w:proofErr w:type="spellEnd"/>
      <w:r w:rsidRPr="00736CB8">
        <w:rPr>
          <w:i/>
        </w:rPr>
        <w:t xml:space="preserve"> </w:t>
      </w:r>
      <w:proofErr w:type="spellStart"/>
      <w:r w:rsidRPr="00736CB8">
        <w:rPr>
          <w:i/>
        </w:rPr>
        <w:t>für</w:t>
      </w:r>
      <w:proofErr w:type="spellEnd"/>
      <w:r w:rsidRPr="00736CB8">
        <w:rPr>
          <w:i/>
        </w:rPr>
        <w:t xml:space="preserve"> </w:t>
      </w:r>
      <w:proofErr w:type="spellStart"/>
      <w:r w:rsidRPr="00736CB8">
        <w:rPr>
          <w:i/>
        </w:rPr>
        <w:t>Papyrologie</w:t>
      </w:r>
      <w:proofErr w:type="spellEnd"/>
      <w:r w:rsidRPr="00736CB8">
        <w:rPr>
          <w:i/>
        </w:rPr>
        <w:t xml:space="preserve"> und </w:t>
      </w:r>
      <w:proofErr w:type="spellStart"/>
      <w:r w:rsidRPr="00736CB8">
        <w:rPr>
          <w:i/>
        </w:rPr>
        <w:t>Epigraphik</w:t>
      </w:r>
      <w:proofErr w:type="spellEnd"/>
      <w:r w:rsidRPr="00736CB8">
        <w:t xml:space="preserve"> 189 (2014): </w:t>
      </w:r>
      <w:r w:rsidRPr="00736CB8">
        <w:rPr>
          <w:color w:val="000000" w:themeColor="text1"/>
        </w:rPr>
        <w:t>53-63</w:t>
      </w:r>
      <w:r w:rsidRPr="00736CB8">
        <w:t xml:space="preserve">. </w:t>
      </w:r>
    </w:p>
    <w:p w14:paraId="23070963" w14:textId="77777777" w:rsidR="00D06E0A" w:rsidRPr="00736CB8" w:rsidRDefault="00D06E0A" w:rsidP="00D06E0A">
      <w:pPr>
        <w:widowControl w:val="0"/>
        <w:tabs>
          <w:tab w:val="left" w:pos="360"/>
          <w:tab w:val="right" w:pos="7460"/>
        </w:tabs>
        <w:autoSpaceDE w:val="0"/>
        <w:autoSpaceDN w:val="0"/>
        <w:adjustRightInd w:val="0"/>
        <w:ind w:right="180"/>
        <w:contextualSpacing/>
      </w:pPr>
    </w:p>
    <w:p w14:paraId="5FFFE777" w14:textId="77777777" w:rsidR="00D06E0A" w:rsidRPr="00736CB8" w:rsidRDefault="00D06E0A" w:rsidP="00D06E0A">
      <w:r w:rsidRPr="00736CB8">
        <w:t>‘</w:t>
      </w:r>
      <w:proofErr w:type="spellStart"/>
      <w:r w:rsidRPr="00736CB8">
        <w:fldChar w:fldCharType="begin"/>
      </w:r>
      <w:r w:rsidRPr="00736CB8">
        <w:instrText xml:space="preserve"> HYPERLINK "https://www.jstor.org/stable/43909622" </w:instrText>
      </w:r>
      <w:r w:rsidRPr="00736CB8">
        <w:fldChar w:fldCharType="separate"/>
      </w:r>
      <w:r w:rsidRPr="00736CB8">
        <w:rPr>
          <w:rStyle w:val="Hyperlink"/>
        </w:rPr>
        <w:t>Alcman</w:t>
      </w:r>
      <w:proofErr w:type="spellEnd"/>
      <w:r w:rsidRPr="00736CB8">
        <w:rPr>
          <w:rStyle w:val="Hyperlink"/>
        </w:rPr>
        <w:t xml:space="preserve"> 3 </w:t>
      </w:r>
      <w:r w:rsidRPr="00736CB8">
        <w:rPr>
          <w:rStyle w:val="Hyperlink"/>
          <w:i/>
        </w:rPr>
        <w:t>PMGF</w:t>
      </w:r>
      <w:r w:rsidRPr="00736CB8">
        <w:rPr>
          <w:rStyle w:val="Hyperlink"/>
        </w:rPr>
        <w:t xml:space="preserve"> and Horace </w:t>
      </w:r>
      <w:r w:rsidRPr="00736CB8">
        <w:rPr>
          <w:rStyle w:val="Hyperlink"/>
          <w:i/>
        </w:rPr>
        <w:t>C</w:t>
      </w:r>
      <w:r w:rsidRPr="00736CB8">
        <w:rPr>
          <w:rStyle w:val="Hyperlink"/>
        </w:rPr>
        <w:t>. 2.8</w:t>
      </w:r>
      <w:r w:rsidRPr="00736CB8">
        <w:fldChar w:fldCharType="end"/>
      </w:r>
      <w:r w:rsidRPr="00736CB8">
        <w:t xml:space="preserve">’: </w:t>
      </w:r>
      <w:proofErr w:type="spellStart"/>
      <w:r w:rsidRPr="00736CB8">
        <w:rPr>
          <w:i/>
        </w:rPr>
        <w:t>Zeitschrift</w:t>
      </w:r>
      <w:proofErr w:type="spellEnd"/>
      <w:r w:rsidRPr="00736CB8">
        <w:rPr>
          <w:i/>
        </w:rPr>
        <w:t xml:space="preserve"> </w:t>
      </w:r>
      <w:proofErr w:type="spellStart"/>
      <w:r w:rsidRPr="00736CB8">
        <w:rPr>
          <w:i/>
        </w:rPr>
        <w:t>für</w:t>
      </w:r>
      <w:proofErr w:type="spellEnd"/>
      <w:r w:rsidRPr="00736CB8">
        <w:rPr>
          <w:i/>
        </w:rPr>
        <w:t xml:space="preserve"> </w:t>
      </w:r>
      <w:proofErr w:type="spellStart"/>
      <w:r w:rsidRPr="00736CB8">
        <w:rPr>
          <w:i/>
        </w:rPr>
        <w:t>Papyrologie</w:t>
      </w:r>
      <w:proofErr w:type="spellEnd"/>
      <w:r w:rsidRPr="00736CB8">
        <w:rPr>
          <w:i/>
        </w:rPr>
        <w:t xml:space="preserve"> und </w:t>
      </w:r>
      <w:proofErr w:type="spellStart"/>
      <w:r w:rsidRPr="00736CB8">
        <w:rPr>
          <w:i/>
        </w:rPr>
        <w:t>Epigraphik</w:t>
      </w:r>
      <w:proofErr w:type="spellEnd"/>
      <w:r w:rsidRPr="00736CB8">
        <w:t xml:space="preserve"> 192 (2014): </w:t>
      </w:r>
      <w:r w:rsidRPr="00736CB8">
        <w:rPr>
          <w:color w:val="000000" w:themeColor="text1"/>
        </w:rPr>
        <w:t>23-8</w:t>
      </w:r>
      <w:r w:rsidRPr="00736CB8">
        <w:t xml:space="preserve">. </w:t>
      </w:r>
    </w:p>
    <w:p w14:paraId="775FAB86" w14:textId="77777777" w:rsidR="00D06E0A" w:rsidRPr="00736CB8" w:rsidRDefault="00D06E0A" w:rsidP="00D06E0A"/>
    <w:p w14:paraId="2C443814" w14:textId="77777777" w:rsidR="00D06E0A" w:rsidRPr="00736CB8" w:rsidRDefault="00D06E0A" w:rsidP="00D06E0A">
      <w:pPr>
        <w:rPr>
          <w:i/>
        </w:rPr>
      </w:pPr>
      <w:r w:rsidRPr="00736CB8">
        <w:t>‘</w:t>
      </w:r>
      <w:hyperlink r:id="rId6" w:history="1">
        <w:r w:rsidRPr="00736CB8">
          <w:rPr>
            <w:rStyle w:val="Hyperlink"/>
          </w:rPr>
          <w:t xml:space="preserve">Zeus and the Maidens: Pindar </w:t>
        </w:r>
        <w:proofErr w:type="spellStart"/>
        <w:r w:rsidRPr="00736CB8">
          <w:rPr>
            <w:rStyle w:val="Hyperlink"/>
          </w:rPr>
          <w:t>fr.</w:t>
        </w:r>
        <w:proofErr w:type="spellEnd"/>
        <w:r w:rsidRPr="00736CB8">
          <w:rPr>
            <w:rStyle w:val="Hyperlink"/>
          </w:rPr>
          <w:t xml:space="preserve"> 94b.31-7</w:t>
        </w:r>
      </w:hyperlink>
      <w:r w:rsidRPr="00736CB8">
        <w:t xml:space="preserve">’: </w:t>
      </w:r>
      <w:proofErr w:type="spellStart"/>
      <w:r w:rsidRPr="00736CB8">
        <w:rPr>
          <w:i/>
        </w:rPr>
        <w:t>Zeitschrift</w:t>
      </w:r>
      <w:proofErr w:type="spellEnd"/>
      <w:r w:rsidRPr="00736CB8">
        <w:rPr>
          <w:i/>
        </w:rPr>
        <w:t xml:space="preserve"> </w:t>
      </w:r>
      <w:proofErr w:type="spellStart"/>
      <w:r w:rsidRPr="00736CB8">
        <w:rPr>
          <w:i/>
        </w:rPr>
        <w:t>für</w:t>
      </w:r>
      <w:proofErr w:type="spellEnd"/>
      <w:r w:rsidRPr="00736CB8">
        <w:rPr>
          <w:i/>
        </w:rPr>
        <w:t xml:space="preserve"> </w:t>
      </w:r>
      <w:proofErr w:type="spellStart"/>
      <w:r w:rsidRPr="00736CB8">
        <w:rPr>
          <w:i/>
        </w:rPr>
        <w:t>Papyrologie</w:t>
      </w:r>
      <w:proofErr w:type="spellEnd"/>
      <w:r w:rsidRPr="00736CB8">
        <w:rPr>
          <w:i/>
        </w:rPr>
        <w:t xml:space="preserve"> und </w:t>
      </w:r>
      <w:proofErr w:type="spellStart"/>
      <w:r w:rsidRPr="00736CB8">
        <w:rPr>
          <w:i/>
        </w:rPr>
        <w:t>Epigraphik</w:t>
      </w:r>
      <w:proofErr w:type="spellEnd"/>
      <w:r w:rsidRPr="00736CB8">
        <w:t xml:space="preserve"> 192 (2014): 31-3</w:t>
      </w:r>
      <w:r w:rsidRPr="00736CB8">
        <w:rPr>
          <w:i/>
        </w:rPr>
        <w:t>.</w:t>
      </w:r>
      <w:r w:rsidRPr="00736CB8">
        <w:t xml:space="preserve"> </w:t>
      </w:r>
    </w:p>
    <w:p w14:paraId="50282F9B" w14:textId="77777777" w:rsidR="00D06E0A" w:rsidRPr="00736CB8" w:rsidRDefault="00D06E0A" w:rsidP="00D06E0A"/>
    <w:p w14:paraId="30B72D11" w14:textId="77777777" w:rsidR="00D06E0A" w:rsidRPr="00736CB8" w:rsidRDefault="00D06E0A" w:rsidP="00D06E0A">
      <w:r w:rsidRPr="00736CB8">
        <w:t>‘</w:t>
      </w:r>
      <w:hyperlink r:id="rId7" w:history="1">
        <w:r w:rsidRPr="00736CB8">
          <w:rPr>
            <w:rStyle w:val="Hyperlink"/>
          </w:rPr>
          <w:t>Alcaeus 140</w:t>
        </w:r>
      </w:hyperlink>
      <w:r w:rsidRPr="00736CB8">
        <w:t xml:space="preserve">’: </w:t>
      </w:r>
      <w:r w:rsidRPr="00736CB8">
        <w:rPr>
          <w:i/>
        </w:rPr>
        <w:t>Classical Philology</w:t>
      </w:r>
      <w:r w:rsidRPr="00736CB8">
        <w:t xml:space="preserve"> 110 (2015): </w:t>
      </w:r>
      <w:r w:rsidRPr="00736CB8">
        <w:rPr>
          <w:color w:val="000000" w:themeColor="text1"/>
        </w:rPr>
        <w:t>353-60</w:t>
      </w:r>
      <w:r w:rsidRPr="00736CB8">
        <w:rPr>
          <w:i/>
        </w:rPr>
        <w:t>.</w:t>
      </w:r>
      <w:r w:rsidRPr="00736CB8">
        <w:t xml:space="preserve"> </w:t>
      </w:r>
    </w:p>
    <w:p w14:paraId="7E48C442" w14:textId="77777777" w:rsidR="00D06E0A" w:rsidRPr="00736CB8" w:rsidRDefault="00D06E0A" w:rsidP="00D06E0A"/>
    <w:p w14:paraId="489E0512" w14:textId="77777777" w:rsidR="00D06E0A" w:rsidRPr="00736CB8" w:rsidRDefault="00D06E0A" w:rsidP="00D06E0A">
      <w:r w:rsidRPr="00736CB8">
        <w:t>‘</w:t>
      </w:r>
      <w:hyperlink r:id="rId8" w:history="1">
        <w:r w:rsidRPr="00736CB8">
          <w:rPr>
            <w:rStyle w:val="Hyperlink"/>
          </w:rPr>
          <w:t xml:space="preserve">Simonides 21 </w:t>
        </w:r>
        <w:r w:rsidRPr="00736CB8">
          <w:rPr>
            <w:rStyle w:val="Hyperlink"/>
            <w:i/>
          </w:rPr>
          <w:t>IEG</w:t>
        </w:r>
        <w:r w:rsidRPr="00736CB8">
          <w:rPr>
            <w:rStyle w:val="Hyperlink"/>
            <w:vertAlign w:val="superscript"/>
          </w:rPr>
          <w:t>2</w:t>
        </w:r>
      </w:hyperlink>
      <w:r w:rsidRPr="00736CB8">
        <w:t xml:space="preserve">’: </w:t>
      </w:r>
      <w:proofErr w:type="spellStart"/>
      <w:r w:rsidRPr="00736CB8">
        <w:rPr>
          <w:i/>
        </w:rPr>
        <w:t>Zeitschrift</w:t>
      </w:r>
      <w:proofErr w:type="spellEnd"/>
      <w:r w:rsidRPr="00736CB8">
        <w:rPr>
          <w:i/>
        </w:rPr>
        <w:t xml:space="preserve"> </w:t>
      </w:r>
      <w:proofErr w:type="spellStart"/>
      <w:r w:rsidRPr="00736CB8">
        <w:rPr>
          <w:i/>
        </w:rPr>
        <w:t>für</w:t>
      </w:r>
      <w:proofErr w:type="spellEnd"/>
      <w:r w:rsidRPr="00736CB8">
        <w:rPr>
          <w:i/>
        </w:rPr>
        <w:t xml:space="preserve"> </w:t>
      </w:r>
      <w:proofErr w:type="spellStart"/>
      <w:r w:rsidRPr="00736CB8">
        <w:rPr>
          <w:i/>
        </w:rPr>
        <w:t>Papyrologie</w:t>
      </w:r>
      <w:proofErr w:type="spellEnd"/>
      <w:r w:rsidRPr="00736CB8">
        <w:rPr>
          <w:i/>
        </w:rPr>
        <w:t xml:space="preserve"> und </w:t>
      </w:r>
      <w:proofErr w:type="spellStart"/>
      <w:r w:rsidRPr="00736CB8">
        <w:rPr>
          <w:i/>
        </w:rPr>
        <w:t>Epigraphik</w:t>
      </w:r>
      <w:proofErr w:type="spellEnd"/>
      <w:r w:rsidRPr="00736CB8">
        <w:rPr>
          <w:i/>
        </w:rPr>
        <w:t xml:space="preserve"> </w:t>
      </w:r>
      <w:r w:rsidRPr="00736CB8">
        <w:t xml:space="preserve">200 (2016): 33-5. </w:t>
      </w:r>
    </w:p>
    <w:p w14:paraId="71356F5C" w14:textId="77777777" w:rsidR="00D06E0A" w:rsidRPr="00736CB8" w:rsidRDefault="00D06E0A" w:rsidP="00D06E0A">
      <w:r w:rsidRPr="00736CB8">
        <w:t xml:space="preserve"> </w:t>
      </w:r>
    </w:p>
    <w:p w14:paraId="29FE04E0" w14:textId="77777777" w:rsidR="00D06E0A" w:rsidRPr="00736CB8" w:rsidRDefault="00D06E0A" w:rsidP="00D06E0A">
      <w:r w:rsidRPr="00736CB8">
        <w:t>‘</w:t>
      </w:r>
      <w:hyperlink r:id="rId9" w:history="1">
        <w:r w:rsidRPr="00736CB8">
          <w:rPr>
            <w:rStyle w:val="Hyperlink"/>
          </w:rPr>
          <w:t>Sappho 44: Trojan Myth and Literary History</w:t>
        </w:r>
      </w:hyperlink>
      <w:r w:rsidRPr="00736CB8">
        <w:t xml:space="preserve">’: </w:t>
      </w:r>
      <w:r w:rsidRPr="00736CB8">
        <w:rPr>
          <w:i/>
        </w:rPr>
        <w:t xml:space="preserve">Mnemosyne </w:t>
      </w:r>
      <w:r w:rsidRPr="00736CB8">
        <w:t>70 (2017): 740-57</w:t>
      </w:r>
      <w:r w:rsidRPr="00736CB8">
        <w:rPr>
          <w:i/>
        </w:rPr>
        <w:t>.</w:t>
      </w:r>
    </w:p>
    <w:p w14:paraId="110DC0F2" w14:textId="77777777" w:rsidR="00D06E0A" w:rsidRPr="00736CB8" w:rsidRDefault="00D06E0A" w:rsidP="00D06E0A">
      <w:pPr>
        <w:widowControl w:val="0"/>
        <w:tabs>
          <w:tab w:val="left" w:pos="360"/>
          <w:tab w:val="right" w:pos="7460"/>
        </w:tabs>
        <w:autoSpaceDE w:val="0"/>
        <w:autoSpaceDN w:val="0"/>
        <w:adjustRightInd w:val="0"/>
        <w:ind w:right="180"/>
        <w:contextualSpacing/>
      </w:pPr>
    </w:p>
    <w:p w14:paraId="57AFC6E6" w14:textId="77777777" w:rsidR="00D06E0A" w:rsidRPr="00736CB8" w:rsidRDefault="00D06E0A" w:rsidP="00D06E0A">
      <w:pPr>
        <w:widowControl w:val="0"/>
        <w:tabs>
          <w:tab w:val="left" w:pos="360"/>
          <w:tab w:val="right" w:pos="7460"/>
        </w:tabs>
        <w:autoSpaceDE w:val="0"/>
        <w:autoSpaceDN w:val="0"/>
        <w:adjustRightInd w:val="0"/>
        <w:ind w:right="180"/>
        <w:contextualSpacing/>
      </w:pPr>
      <w:r w:rsidRPr="00736CB8">
        <w:t>‘</w:t>
      </w:r>
      <w:hyperlink r:id="rId10" w:history="1">
        <w:r w:rsidRPr="00736CB8">
          <w:rPr>
            <w:rStyle w:val="Hyperlink"/>
          </w:rPr>
          <w:t>Borrowing Sappho’s Napkins: Sappho 101, Catullus 12, and Theocritus 28</w:t>
        </w:r>
      </w:hyperlink>
      <w:r w:rsidRPr="00736CB8">
        <w:t xml:space="preserve">’: </w:t>
      </w:r>
      <w:r w:rsidRPr="00736CB8">
        <w:rPr>
          <w:i/>
        </w:rPr>
        <w:t>Harvard Studies in Classical Philology</w:t>
      </w:r>
      <w:r w:rsidRPr="00736CB8">
        <w:t xml:space="preserve"> 109 (2017): 237-60. (9k words)</w:t>
      </w:r>
    </w:p>
    <w:p w14:paraId="0D6E4E3C" w14:textId="77777777" w:rsidR="00D06E0A" w:rsidRPr="00736CB8" w:rsidRDefault="00D06E0A" w:rsidP="00D06E0A"/>
    <w:p w14:paraId="5BBBFDC1" w14:textId="77777777" w:rsidR="00D06E0A" w:rsidRPr="00736CB8" w:rsidRDefault="00D06E0A" w:rsidP="00D06E0A">
      <w:r w:rsidRPr="00736CB8">
        <w:t xml:space="preserve">‘Reading Agamemnon’s Mind in Euripides’ </w:t>
      </w:r>
      <w:r w:rsidRPr="00736CB8">
        <w:rPr>
          <w:i/>
        </w:rPr>
        <w:t>Hecuba</w:t>
      </w:r>
      <w:r w:rsidRPr="00736CB8">
        <w:t xml:space="preserve">’: </w:t>
      </w:r>
      <w:r w:rsidRPr="00736CB8">
        <w:rPr>
          <w:i/>
        </w:rPr>
        <w:t xml:space="preserve">Omnibus </w:t>
      </w:r>
      <w:r w:rsidRPr="00736CB8">
        <w:t xml:space="preserve">73 (2017): 15-18. </w:t>
      </w:r>
    </w:p>
    <w:p w14:paraId="5602CA86" w14:textId="77777777" w:rsidR="00D06E0A" w:rsidRPr="00736CB8" w:rsidRDefault="00D06E0A" w:rsidP="00D06E0A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</w:p>
    <w:p w14:paraId="442068B8" w14:textId="77777777" w:rsidR="00D06E0A" w:rsidRPr="00736CB8" w:rsidRDefault="00D06E0A" w:rsidP="00D06E0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736CB8">
        <w:rPr>
          <w:rFonts w:ascii="Times New Roman" w:hAnsi="Times New Roman" w:cs="Times New Roman"/>
          <w:sz w:val="24"/>
          <w:szCs w:val="24"/>
          <w:lang w:val="en-GB"/>
        </w:rPr>
        <w:t xml:space="preserve">‘Event and Artefact: The </w:t>
      </w:r>
      <w:r w:rsidRPr="00736CB8">
        <w:rPr>
          <w:rFonts w:ascii="Times New Roman" w:hAnsi="Times New Roman" w:cs="Times New Roman"/>
          <w:i/>
          <w:sz w:val="24"/>
          <w:szCs w:val="24"/>
          <w:lang w:val="en-GB"/>
        </w:rPr>
        <w:t>Hymn to Apollo</w:t>
      </w:r>
      <w:r w:rsidRPr="00736CB8">
        <w:rPr>
          <w:rFonts w:ascii="Times New Roman" w:hAnsi="Times New Roman" w:cs="Times New Roman"/>
          <w:sz w:val="24"/>
          <w:szCs w:val="24"/>
          <w:lang w:val="en-GB"/>
        </w:rPr>
        <w:t xml:space="preserve">, Archaic Lyric, and Early Greek Literary History’: in </w:t>
      </w:r>
      <w:hyperlink r:id="rId11" w:history="1">
        <w:r w:rsidRPr="00736CB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Textual Events: Performance and the Lyric in Early Greece</w:t>
        </w:r>
      </w:hyperlink>
      <w:r w:rsidRPr="00736CB8">
        <w:rPr>
          <w:rFonts w:ascii="Times New Roman" w:hAnsi="Times New Roman" w:cs="Times New Roman"/>
          <w:sz w:val="24"/>
          <w:szCs w:val="24"/>
        </w:rPr>
        <w:t xml:space="preserve"> ed. F. Budelmann and T. Phillips (Oxford, 2018): 151-71.</w:t>
      </w:r>
    </w:p>
    <w:p w14:paraId="2A5E4638" w14:textId="77777777" w:rsidR="00D06E0A" w:rsidRPr="00736CB8" w:rsidRDefault="00D06E0A" w:rsidP="00D06E0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7DB890FB" w14:textId="77777777" w:rsidR="00D06E0A" w:rsidRPr="00736CB8" w:rsidRDefault="00D06E0A" w:rsidP="00D06E0A">
      <w:r w:rsidRPr="00736CB8">
        <w:t>‘</w:t>
      </w:r>
      <w:hyperlink r:id="rId12" w:history="1">
        <w:r w:rsidRPr="00736CB8">
          <w:rPr>
            <w:rStyle w:val="Hyperlink"/>
          </w:rPr>
          <w:t xml:space="preserve">Heirs and Educators: Pindar in the </w:t>
        </w:r>
        <w:r w:rsidRPr="00736CB8">
          <w:rPr>
            <w:rStyle w:val="Hyperlink"/>
            <w:i/>
          </w:rPr>
          <w:t xml:space="preserve">Epitaph for </w:t>
        </w:r>
        <w:proofErr w:type="spellStart"/>
        <w:r w:rsidRPr="00736CB8">
          <w:rPr>
            <w:rStyle w:val="Hyperlink"/>
            <w:i/>
          </w:rPr>
          <w:t>Bion</w:t>
        </w:r>
        <w:proofErr w:type="spellEnd"/>
      </w:hyperlink>
      <w:r w:rsidRPr="00736CB8">
        <w:t xml:space="preserve">’: </w:t>
      </w:r>
      <w:r w:rsidRPr="00736CB8">
        <w:rPr>
          <w:i/>
        </w:rPr>
        <w:t>Hermes</w:t>
      </w:r>
      <w:r w:rsidRPr="00736CB8">
        <w:t xml:space="preserve"> 146 (2018): 107-9.  </w:t>
      </w:r>
    </w:p>
    <w:p w14:paraId="2C9EE7B1" w14:textId="77777777" w:rsidR="00D06E0A" w:rsidRDefault="00D06E0A" w:rsidP="00D06E0A">
      <w:pPr>
        <w:tabs>
          <w:tab w:val="left" w:pos="360"/>
        </w:tabs>
        <w:ind w:right="180"/>
        <w:contextualSpacing/>
        <w:rPr>
          <w:rFonts w:eastAsia="Times New Roman"/>
          <w:lang w:val="en-US"/>
        </w:rPr>
      </w:pPr>
    </w:p>
    <w:p w14:paraId="672B4A8A" w14:textId="77777777" w:rsidR="00D06E0A" w:rsidRPr="00736CB8" w:rsidRDefault="00D06E0A" w:rsidP="00D06E0A">
      <w:pPr>
        <w:tabs>
          <w:tab w:val="left" w:pos="360"/>
        </w:tabs>
        <w:ind w:right="180"/>
        <w:contextualSpacing/>
      </w:pPr>
      <w:r w:rsidRPr="00736CB8">
        <w:t>‘</w:t>
      </w:r>
      <w:hyperlink r:id="rId13" w:history="1">
        <w:r w:rsidRPr="00736CB8">
          <w:rPr>
            <w:rStyle w:val="Hyperlink"/>
          </w:rPr>
          <w:t>Pindar and the Epic Cycle</w:t>
        </w:r>
      </w:hyperlink>
      <w:r w:rsidRPr="00736CB8">
        <w:t xml:space="preserve">’: </w:t>
      </w:r>
      <w:r w:rsidRPr="00736CB8">
        <w:rPr>
          <w:i/>
        </w:rPr>
        <w:t>The</w:t>
      </w:r>
      <w:r w:rsidRPr="00736CB8">
        <w:t xml:space="preserve"> </w:t>
      </w:r>
      <w:r w:rsidRPr="00736CB8">
        <w:rPr>
          <w:i/>
        </w:rPr>
        <w:t>Journal of Hellenic Studies</w:t>
      </w:r>
      <w:r w:rsidRPr="00736CB8">
        <w:t xml:space="preserve"> 138 (2018): 182-201. </w:t>
      </w:r>
    </w:p>
    <w:p w14:paraId="02D776CA" w14:textId="77777777" w:rsidR="00D06E0A" w:rsidRPr="00736CB8" w:rsidRDefault="00D06E0A" w:rsidP="00D06E0A">
      <w:pPr>
        <w:tabs>
          <w:tab w:val="left" w:pos="360"/>
        </w:tabs>
        <w:ind w:right="180"/>
        <w:contextualSpacing/>
      </w:pPr>
    </w:p>
    <w:p w14:paraId="1EF4D104" w14:textId="77777777" w:rsidR="00D06E0A" w:rsidRPr="00736CB8" w:rsidRDefault="00D06E0A" w:rsidP="00D06E0A">
      <w:pPr>
        <w:outlineLvl w:val="0"/>
      </w:pPr>
      <w:r w:rsidRPr="00736CB8">
        <w:t>‘</w:t>
      </w:r>
      <w:hyperlink r:id="rId14" w:history="1">
        <w:r w:rsidRPr="00736CB8">
          <w:rPr>
            <w:rStyle w:val="Hyperlink"/>
          </w:rPr>
          <w:t>Schools, Reading and Poetry in the Early Greek World</w:t>
        </w:r>
      </w:hyperlink>
      <w:r w:rsidRPr="00736CB8">
        <w:t xml:space="preserve">’: </w:t>
      </w:r>
      <w:r w:rsidRPr="00736CB8">
        <w:rPr>
          <w:i/>
        </w:rPr>
        <w:t xml:space="preserve">Cambridge Classical Journal </w:t>
      </w:r>
      <w:r w:rsidRPr="00736CB8">
        <w:rPr>
          <w:color w:val="000000" w:themeColor="text1"/>
        </w:rPr>
        <w:t>65 (2019): 150-72</w:t>
      </w:r>
      <w:r w:rsidRPr="00736CB8">
        <w:t xml:space="preserve">. </w:t>
      </w:r>
    </w:p>
    <w:p w14:paraId="310351AF" w14:textId="77777777" w:rsidR="00D06E0A" w:rsidRPr="00736CB8" w:rsidRDefault="00D06E0A" w:rsidP="00D06E0A">
      <w:pPr>
        <w:outlineLvl w:val="0"/>
        <w:rPr>
          <w:b/>
        </w:rPr>
      </w:pPr>
    </w:p>
    <w:p w14:paraId="67617F23" w14:textId="77777777" w:rsidR="00D06E0A" w:rsidRPr="00736CB8" w:rsidRDefault="001E0238" w:rsidP="00D06E0A">
      <w:pPr>
        <w:tabs>
          <w:tab w:val="left" w:pos="360"/>
        </w:tabs>
        <w:ind w:right="180"/>
        <w:contextualSpacing/>
      </w:pPr>
      <w:hyperlink r:id="rId15" w:history="1">
        <w:r w:rsidR="00D06E0A" w:rsidRPr="006634F7">
          <w:rPr>
            <w:rStyle w:val="Hyperlink"/>
          </w:rPr>
          <w:t xml:space="preserve">‘The View from Olympus: The Muses’ Song in the </w:t>
        </w:r>
        <w:r w:rsidR="00D06E0A" w:rsidRPr="006634F7">
          <w:rPr>
            <w:rStyle w:val="Hyperlink"/>
            <w:i/>
          </w:rPr>
          <w:t>Homeric Hymn to Apollo</w:t>
        </w:r>
        <w:r w:rsidR="00D06E0A" w:rsidRPr="006634F7">
          <w:rPr>
            <w:rStyle w:val="Hyperlink"/>
          </w:rPr>
          <w:t>’</w:t>
        </w:r>
      </w:hyperlink>
      <w:r w:rsidR="00D06E0A" w:rsidRPr="00736CB8">
        <w:t xml:space="preserve">: </w:t>
      </w:r>
      <w:r w:rsidR="00D06E0A" w:rsidRPr="00736CB8">
        <w:rPr>
          <w:i/>
        </w:rPr>
        <w:t>Classical Quarterly</w:t>
      </w:r>
      <w:r w:rsidR="00D06E0A" w:rsidRPr="00736CB8">
        <w:t xml:space="preserve"> 72 (2020): 1-9. </w:t>
      </w:r>
    </w:p>
    <w:p w14:paraId="22575661" w14:textId="77777777" w:rsidR="00D06E0A" w:rsidRPr="00736CB8" w:rsidRDefault="00D06E0A" w:rsidP="00D06E0A">
      <w:pPr>
        <w:tabs>
          <w:tab w:val="left" w:pos="360"/>
        </w:tabs>
        <w:ind w:right="180"/>
        <w:contextualSpacing/>
      </w:pPr>
    </w:p>
    <w:p w14:paraId="0B9999F6" w14:textId="77777777" w:rsidR="00D06E0A" w:rsidRDefault="00D06E0A" w:rsidP="00D06E0A">
      <w:pPr>
        <w:tabs>
          <w:tab w:val="left" w:pos="360"/>
        </w:tabs>
        <w:ind w:right="180"/>
        <w:contextualSpacing/>
      </w:pPr>
      <w:r w:rsidRPr="00736CB8">
        <w:t xml:space="preserve">‘Staging Literary History in Old Comedy’: </w:t>
      </w:r>
      <w:r w:rsidRPr="00736CB8">
        <w:rPr>
          <w:i/>
        </w:rPr>
        <w:t xml:space="preserve">Classical Philology. </w:t>
      </w:r>
    </w:p>
    <w:p w14:paraId="1EB43A3A" w14:textId="77777777" w:rsidR="00D06E0A" w:rsidRPr="00736CB8" w:rsidRDefault="00D06E0A" w:rsidP="00D06E0A">
      <w:pPr>
        <w:tabs>
          <w:tab w:val="left" w:pos="360"/>
        </w:tabs>
        <w:ind w:right="180"/>
        <w:contextualSpacing/>
      </w:pPr>
    </w:p>
    <w:p w14:paraId="032A7DF8" w14:textId="77777777" w:rsidR="00D06E0A" w:rsidRPr="00736CB8" w:rsidRDefault="00D06E0A" w:rsidP="00D06E0A">
      <w:pPr>
        <w:tabs>
          <w:tab w:val="left" w:pos="360"/>
        </w:tabs>
        <w:ind w:right="180"/>
        <w:contextualSpacing/>
      </w:pPr>
      <w:r w:rsidRPr="00736CB8">
        <w:rPr>
          <w:i/>
        </w:rPr>
        <w:t>Texts and Intertexts in Archaic and Classical Greek Literature</w:t>
      </w:r>
      <w:r>
        <w:rPr>
          <w:i/>
        </w:rPr>
        <w:t xml:space="preserve"> </w:t>
      </w:r>
      <w:r>
        <w:t>(CUP)</w:t>
      </w:r>
      <w:r w:rsidRPr="00736CB8">
        <w:t xml:space="preserve">, volume edited with Adrian Kelly. </w:t>
      </w:r>
    </w:p>
    <w:p w14:paraId="68DAF74B" w14:textId="77777777" w:rsidR="00D06E0A" w:rsidRPr="00E77B83" w:rsidRDefault="00D06E0A" w:rsidP="006A7F48">
      <w:pPr>
        <w:pStyle w:val="xmsonormal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7EFC4478" w14:textId="77777777" w:rsidR="00464106" w:rsidRDefault="00464106"/>
    <w:p w14:paraId="2D193A0C" w14:textId="6DAC89E8" w:rsidR="00E77B83" w:rsidRPr="00464106" w:rsidRDefault="00E77B83"/>
    <w:sectPr w:rsidR="00E77B83" w:rsidRPr="00464106" w:rsidSect="003D4B5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F48"/>
    <w:rsid w:val="001564D2"/>
    <w:rsid w:val="00170F82"/>
    <w:rsid w:val="001E0238"/>
    <w:rsid w:val="00262E84"/>
    <w:rsid w:val="003D4A75"/>
    <w:rsid w:val="003D4B55"/>
    <w:rsid w:val="00464106"/>
    <w:rsid w:val="006A7F48"/>
    <w:rsid w:val="00707CB7"/>
    <w:rsid w:val="00922716"/>
    <w:rsid w:val="0093191F"/>
    <w:rsid w:val="00D06E0A"/>
    <w:rsid w:val="00D423BB"/>
    <w:rsid w:val="00DE31C7"/>
    <w:rsid w:val="00E14766"/>
    <w:rsid w:val="00E7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AF89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3191F"/>
    <w:rPr>
      <w:rFonts w:ascii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msonormal"/>
    <w:basedOn w:val="Normal"/>
    <w:rsid w:val="006A7F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A7F48"/>
  </w:style>
  <w:style w:type="character" w:styleId="Hyperlink">
    <w:name w:val="Hyperlink"/>
    <w:basedOn w:val="DefaultParagraphFont"/>
    <w:uiPriority w:val="99"/>
    <w:unhideWhenUsed/>
    <w:rsid w:val="006A7F4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06E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06E0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tor.org/stable/26603860" TargetMode="External"/><Relationship Id="rId13" Type="http://schemas.openxmlformats.org/officeDocument/2006/relationships/hyperlink" Target="https://ezproxy-prd.bodleian.ox.ac.uk:2102/10.1017/S00754269180001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ournals.uchicago.edu/doi/10.1086/683030" TargetMode="External"/><Relationship Id="rId12" Type="http://schemas.openxmlformats.org/officeDocument/2006/relationships/hyperlink" Target="https://elibrary.steiner-verlag.de/article/10.25162/hermes-2018-000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jstor.org/stable/43909624" TargetMode="External"/><Relationship Id="rId11" Type="http://schemas.openxmlformats.org/officeDocument/2006/relationships/hyperlink" Target="https://global.oup.com/academic/product/textual-events-9780198805823?cc=gb&amp;lang=en&amp;" TargetMode="External"/><Relationship Id="rId5" Type="http://schemas.openxmlformats.org/officeDocument/2006/relationships/hyperlink" Target="https://www.jstor.org/stable/23850361" TargetMode="External"/><Relationship Id="rId15" Type="http://schemas.openxmlformats.org/officeDocument/2006/relationships/hyperlink" Target="https://doi.org/10.1017/S000983882000049X" TargetMode="External"/><Relationship Id="rId10" Type="http://schemas.openxmlformats.org/officeDocument/2006/relationships/hyperlink" Target="https://www.hup.harvard.edu/catalog.php?isbn=9780674971653&amp;content=toc" TargetMode="External"/><Relationship Id="rId4" Type="http://schemas.openxmlformats.org/officeDocument/2006/relationships/hyperlink" Target="https://global.oup.com/academic/product/pindar-and-the-poetics-of-permanence-9780198821274?cc=gb&amp;lang=en&amp;" TargetMode="External"/><Relationship Id="rId9" Type="http://schemas.openxmlformats.org/officeDocument/2006/relationships/hyperlink" Target="https://brill.com/view/journals/mnem/70/5/article-p740_740.xml?language=en" TargetMode="External"/><Relationship Id="rId14" Type="http://schemas.openxmlformats.org/officeDocument/2006/relationships/hyperlink" Target="https://ezproxy-prd.bodleian.ox.ac.uk:2102/10.1017/S17502705190000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‘Schools, Reading and Poetry in the Early Greek World’: Cambridge Classical Jour</vt:lpstr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Spelman</dc:creator>
  <cp:keywords/>
  <dc:description/>
  <cp:lastModifiedBy>Maia Cartea</cp:lastModifiedBy>
  <cp:revision>2</cp:revision>
  <dcterms:created xsi:type="dcterms:W3CDTF">2021-01-26T15:33:00Z</dcterms:created>
  <dcterms:modified xsi:type="dcterms:W3CDTF">2021-01-26T15:33:00Z</dcterms:modified>
</cp:coreProperties>
</file>