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7031C" w14:textId="17BBDD0F" w:rsidR="007071DF" w:rsidRPr="009B113C" w:rsidRDefault="00A1124D" w:rsidP="007071DF">
      <w:pPr>
        <w:rPr>
          <w:b/>
        </w:rPr>
      </w:pPr>
      <w:r w:rsidRPr="009B113C">
        <w:rPr>
          <w:b/>
        </w:rPr>
        <w:t xml:space="preserve">Gail Trimble publications (complete </w:t>
      </w:r>
      <w:r w:rsidRPr="009B113C">
        <w:rPr>
          <w:rFonts w:ascii="Alkaios" w:hAnsi="Alkaios"/>
          <w:b/>
        </w:rPr>
        <w:t xml:space="preserve">list </w:t>
      </w:r>
      <w:r w:rsidR="00877312" w:rsidRPr="009B113C">
        <w:rPr>
          <w:rFonts w:ascii="Alkaios" w:hAnsi="Alkaios"/>
          <w:b/>
        </w:rPr>
        <w:t>September</w:t>
      </w:r>
      <w:r w:rsidR="00323C29" w:rsidRPr="009B113C">
        <w:rPr>
          <w:rFonts w:ascii="Alkaios" w:hAnsi="Alkaios"/>
          <w:b/>
        </w:rPr>
        <w:t xml:space="preserve"> </w:t>
      </w:r>
      <w:r w:rsidR="007C0853" w:rsidRPr="009B113C">
        <w:rPr>
          <w:rFonts w:ascii="Alkaios" w:hAnsi="Alkaios"/>
          <w:b/>
        </w:rPr>
        <w:t>2020</w:t>
      </w:r>
      <w:r w:rsidRPr="009B113C">
        <w:rPr>
          <w:rFonts w:ascii="Alkaios" w:hAnsi="Alkaios"/>
          <w:b/>
        </w:rPr>
        <w:t>)</w:t>
      </w:r>
    </w:p>
    <w:p w14:paraId="6E5F2781" w14:textId="77777777" w:rsidR="007071DF" w:rsidRDefault="007071DF" w:rsidP="007071DF">
      <w:pPr>
        <w:jc w:val="center"/>
        <w:rPr>
          <w:b/>
        </w:rPr>
      </w:pPr>
    </w:p>
    <w:p w14:paraId="02798F84" w14:textId="7763F054" w:rsidR="004E40D3" w:rsidRPr="009E78B6" w:rsidRDefault="004E40D3" w:rsidP="007071DF">
      <w:pPr>
        <w:rPr>
          <w:bCs/>
          <w:i/>
          <w:szCs w:val="22"/>
        </w:rPr>
      </w:pPr>
      <w:r>
        <w:rPr>
          <w:bCs/>
          <w:i/>
          <w:szCs w:val="22"/>
        </w:rPr>
        <w:t>Forthcoming:</w:t>
      </w:r>
    </w:p>
    <w:p w14:paraId="6889B6FB" w14:textId="063DAB0E" w:rsidR="009E78B6" w:rsidRDefault="009E78B6" w:rsidP="007071DF">
      <w:pPr>
        <w:rPr>
          <w:rFonts w:eastAsia="Times New Roman" w:cs="Times New Roman"/>
          <w:iCs/>
          <w:lang w:val="en-US"/>
        </w:rPr>
      </w:pPr>
    </w:p>
    <w:p w14:paraId="06D7F2D5" w14:textId="482ECBDB" w:rsidR="009E78B6" w:rsidRPr="009B113C" w:rsidRDefault="009E78B6" w:rsidP="007071DF">
      <w:pPr>
        <w:rPr>
          <w:rFonts w:cs="Times New Roman"/>
          <w:bCs/>
        </w:rPr>
      </w:pPr>
      <w:r w:rsidRPr="004E40D3">
        <w:rPr>
          <w:rFonts w:cs="Times New Roman"/>
          <w:bCs/>
          <w:i/>
        </w:rPr>
        <w:t>Catullus: poem 64: edited with an introduction and commentary</w:t>
      </w:r>
      <w:r>
        <w:rPr>
          <w:rFonts w:cs="Times New Roman"/>
          <w:bCs/>
        </w:rPr>
        <w:t xml:space="preserve"> </w:t>
      </w:r>
      <w:r w:rsidRPr="004E40D3">
        <w:rPr>
          <w:rFonts w:cs="Times New Roman"/>
          <w:bCs/>
        </w:rPr>
        <w:t>(CUP)</w:t>
      </w:r>
    </w:p>
    <w:p w14:paraId="1A3B800D" w14:textId="41CAF5C3" w:rsidR="004E40D3" w:rsidRPr="001027DD" w:rsidRDefault="004E40D3" w:rsidP="007071DF">
      <w:pPr>
        <w:rPr>
          <w:rFonts w:cs="Times New Roman"/>
          <w:bCs/>
          <w:i/>
          <w:color w:val="0432FF"/>
        </w:rPr>
      </w:pPr>
    </w:p>
    <w:p w14:paraId="537B7400" w14:textId="464F605B" w:rsidR="007071DF" w:rsidRDefault="007071DF" w:rsidP="007071DF">
      <w:pPr>
        <w:rPr>
          <w:bCs/>
          <w:i/>
          <w:szCs w:val="22"/>
        </w:rPr>
      </w:pPr>
      <w:r>
        <w:rPr>
          <w:bCs/>
          <w:i/>
          <w:szCs w:val="22"/>
        </w:rPr>
        <w:t>In print:</w:t>
      </w:r>
    </w:p>
    <w:p w14:paraId="6E306E0E" w14:textId="52FAF79C" w:rsidR="009B113C" w:rsidRDefault="009B113C" w:rsidP="007071DF">
      <w:pPr>
        <w:rPr>
          <w:bCs/>
          <w:i/>
          <w:szCs w:val="22"/>
        </w:rPr>
      </w:pPr>
    </w:p>
    <w:p w14:paraId="128B5A66" w14:textId="77777777" w:rsidR="009B113C" w:rsidRDefault="009B113C" w:rsidP="009B113C">
      <w:pPr>
        <w:rPr>
          <w:rFonts w:eastAsia="Times New Roman" w:cs="Times New Roman"/>
          <w:iCs/>
          <w:lang w:val="en-US"/>
        </w:rPr>
      </w:pPr>
      <w:r w:rsidRPr="00CC2323">
        <w:rPr>
          <w:rFonts w:eastAsia="Times New Roman" w:cs="Times New Roman"/>
        </w:rPr>
        <w:t xml:space="preserve">S. Matzner and G.C. Trimble eds. </w:t>
      </w:r>
      <w:r w:rsidRPr="00CC2323">
        <w:rPr>
          <w:rFonts w:eastAsia="Times New Roman" w:cs="Times New Roman"/>
          <w:i/>
          <w:iCs/>
          <w:lang w:val="en-US"/>
        </w:rPr>
        <w:t>Metalepsis</w:t>
      </w:r>
      <w:r>
        <w:rPr>
          <w:rFonts w:eastAsia="Times New Roman" w:cs="Times New Roman"/>
          <w:i/>
          <w:iCs/>
          <w:lang w:val="en-US"/>
        </w:rPr>
        <w:t xml:space="preserve">: ancient texts, new perspectives </w:t>
      </w:r>
      <w:r w:rsidRPr="00CC2323">
        <w:rPr>
          <w:rFonts w:eastAsia="Times New Roman" w:cs="Times New Roman"/>
          <w:iCs/>
          <w:lang w:val="en-US"/>
        </w:rPr>
        <w:t>(</w:t>
      </w:r>
      <w:r w:rsidRPr="00367092">
        <w:rPr>
          <w:rFonts w:eastAsia="Times New Roman" w:cs="Times New Roman"/>
          <w:iCs/>
          <w:lang w:val="en-US"/>
        </w:rPr>
        <w:t>OUP</w:t>
      </w:r>
      <w:r w:rsidRPr="00CC2323">
        <w:rPr>
          <w:rFonts w:eastAsia="Times New Roman" w:cs="Times New Roman"/>
          <w:iCs/>
          <w:lang w:val="en-US"/>
        </w:rPr>
        <w:t xml:space="preserve"> 20</w:t>
      </w:r>
      <w:r>
        <w:rPr>
          <w:rFonts w:eastAsia="Times New Roman" w:cs="Times New Roman"/>
          <w:iCs/>
          <w:lang w:val="en-US"/>
        </w:rPr>
        <w:t>20</w:t>
      </w:r>
      <w:r w:rsidRPr="00CC2323">
        <w:rPr>
          <w:rFonts w:eastAsia="Times New Roman" w:cs="Times New Roman"/>
          <w:iCs/>
          <w:lang w:val="en-US"/>
        </w:rPr>
        <w:t>)</w:t>
      </w:r>
    </w:p>
    <w:p w14:paraId="0717C1DE" w14:textId="77777777" w:rsidR="009B113C" w:rsidRPr="001027DD" w:rsidRDefault="009B113C" w:rsidP="009B113C">
      <w:pPr>
        <w:rPr>
          <w:rFonts w:eastAsia="Times New Roman" w:cs="Times New Roman"/>
          <w:color w:val="0432FF"/>
          <w:lang w:val="en-US"/>
        </w:rPr>
      </w:pPr>
    </w:p>
    <w:p w14:paraId="35751337" w14:textId="77777777" w:rsidR="009B113C" w:rsidRDefault="009B113C" w:rsidP="009B113C">
      <w:pPr>
        <w:rPr>
          <w:rFonts w:eastAsia="Times New Roman" w:cs="Times New Roman"/>
          <w:iCs/>
          <w:lang w:val="en-US"/>
        </w:rPr>
      </w:pPr>
      <w:r w:rsidRPr="00CC2323">
        <w:rPr>
          <w:rFonts w:eastAsia="Times New Roman" w:cs="Times New Roman"/>
        </w:rPr>
        <w:t xml:space="preserve">‘Narrative and lyric levels in Catullus’, in S. Matzner and G.C. Trimble eds. </w:t>
      </w:r>
      <w:r w:rsidRPr="00CC2323">
        <w:rPr>
          <w:rFonts w:eastAsia="Times New Roman" w:cs="Times New Roman"/>
          <w:i/>
          <w:iCs/>
          <w:lang w:val="en-US"/>
        </w:rPr>
        <w:t>Metalepsis</w:t>
      </w:r>
      <w:r>
        <w:rPr>
          <w:rFonts w:eastAsia="Times New Roman" w:cs="Times New Roman"/>
          <w:i/>
          <w:iCs/>
          <w:lang w:val="en-US"/>
        </w:rPr>
        <w:t xml:space="preserve">: ancient texts, new perspectives </w:t>
      </w:r>
      <w:r w:rsidRPr="00CC2323">
        <w:rPr>
          <w:rFonts w:eastAsia="Times New Roman" w:cs="Times New Roman"/>
          <w:iCs/>
          <w:lang w:val="en-US"/>
        </w:rPr>
        <w:t>(</w:t>
      </w:r>
      <w:r w:rsidRPr="00367092">
        <w:rPr>
          <w:rFonts w:eastAsia="Times New Roman" w:cs="Times New Roman"/>
          <w:iCs/>
          <w:lang w:val="en-US"/>
        </w:rPr>
        <w:t>OUP</w:t>
      </w:r>
      <w:r w:rsidRPr="00CC2323">
        <w:rPr>
          <w:rFonts w:eastAsia="Times New Roman" w:cs="Times New Roman"/>
          <w:iCs/>
          <w:lang w:val="en-US"/>
        </w:rPr>
        <w:t xml:space="preserve"> 20</w:t>
      </w:r>
      <w:r>
        <w:rPr>
          <w:rFonts w:eastAsia="Times New Roman" w:cs="Times New Roman"/>
          <w:iCs/>
          <w:lang w:val="en-US"/>
        </w:rPr>
        <w:t>20</w:t>
      </w:r>
      <w:r w:rsidRPr="00CC2323">
        <w:rPr>
          <w:rFonts w:eastAsia="Times New Roman" w:cs="Times New Roman"/>
          <w:iCs/>
          <w:lang w:val="en-US"/>
        </w:rPr>
        <w:t>)</w:t>
      </w:r>
      <w:r>
        <w:rPr>
          <w:rFonts w:eastAsia="Times New Roman" w:cs="Times New Roman"/>
          <w:iCs/>
          <w:lang w:val="en-US"/>
        </w:rPr>
        <w:t xml:space="preserve"> 119-45</w:t>
      </w:r>
    </w:p>
    <w:p w14:paraId="676EF198" w14:textId="77777777" w:rsidR="009B113C" w:rsidRDefault="009B113C" w:rsidP="009B113C">
      <w:pPr>
        <w:rPr>
          <w:rFonts w:eastAsia="Times New Roman" w:cs="Times New Roman"/>
          <w:iCs/>
          <w:lang w:val="en-US"/>
        </w:rPr>
      </w:pPr>
    </w:p>
    <w:p w14:paraId="00FA0480" w14:textId="2F3F17FE" w:rsidR="009B113C" w:rsidRPr="009B113C" w:rsidRDefault="009B113C" w:rsidP="007071DF">
      <w:pPr>
        <w:rPr>
          <w:rFonts w:eastAsia="Times New Roman" w:cs="Times New Roman"/>
          <w:iCs/>
          <w:lang w:val="en-US"/>
        </w:rPr>
      </w:pPr>
      <w:r>
        <w:rPr>
          <w:rFonts w:eastAsia="Times New Roman" w:cs="Times New Roman"/>
          <w:iCs/>
          <w:lang w:val="en-US"/>
        </w:rPr>
        <w:t xml:space="preserve">S. Matzner and G.C. Trimble, ‘Epilogue: metaleptically ever after’, in </w:t>
      </w:r>
      <w:r w:rsidRPr="00CC2323">
        <w:rPr>
          <w:rFonts w:eastAsia="Times New Roman" w:cs="Times New Roman"/>
        </w:rPr>
        <w:t xml:space="preserve">S. Matzner and G.C. Trimble eds. </w:t>
      </w:r>
      <w:r w:rsidRPr="00CC2323">
        <w:rPr>
          <w:rFonts w:eastAsia="Times New Roman" w:cs="Times New Roman"/>
          <w:i/>
          <w:iCs/>
          <w:lang w:val="en-US"/>
        </w:rPr>
        <w:t>Metalepsis</w:t>
      </w:r>
      <w:r>
        <w:rPr>
          <w:rFonts w:eastAsia="Times New Roman" w:cs="Times New Roman"/>
          <w:i/>
          <w:iCs/>
          <w:lang w:val="en-US"/>
        </w:rPr>
        <w:t xml:space="preserve">: ancient texts, new perspectives </w:t>
      </w:r>
      <w:r w:rsidRPr="00CC2323">
        <w:rPr>
          <w:rFonts w:eastAsia="Times New Roman" w:cs="Times New Roman"/>
          <w:iCs/>
          <w:lang w:val="en-US"/>
        </w:rPr>
        <w:t>(</w:t>
      </w:r>
      <w:r w:rsidRPr="00367092">
        <w:rPr>
          <w:rFonts w:eastAsia="Times New Roman" w:cs="Times New Roman"/>
          <w:iCs/>
          <w:lang w:val="en-US"/>
        </w:rPr>
        <w:t>OUP</w:t>
      </w:r>
      <w:r w:rsidRPr="00CC2323">
        <w:rPr>
          <w:rFonts w:eastAsia="Times New Roman" w:cs="Times New Roman"/>
          <w:iCs/>
          <w:lang w:val="en-US"/>
        </w:rPr>
        <w:t xml:space="preserve"> 20</w:t>
      </w:r>
      <w:r>
        <w:rPr>
          <w:rFonts w:eastAsia="Times New Roman" w:cs="Times New Roman"/>
          <w:iCs/>
          <w:lang w:val="en-US"/>
        </w:rPr>
        <w:t>20</w:t>
      </w:r>
      <w:r w:rsidRPr="00CC2323">
        <w:rPr>
          <w:rFonts w:eastAsia="Times New Roman" w:cs="Times New Roman"/>
          <w:iCs/>
          <w:lang w:val="en-US"/>
        </w:rPr>
        <w:t>)</w:t>
      </w:r>
      <w:r>
        <w:rPr>
          <w:rFonts w:eastAsia="Times New Roman" w:cs="Times New Roman"/>
          <w:iCs/>
          <w:lang w:val="en-US"/>
        </w:rPr>
        <w:t xml:space="preserve"> 247-72</w:t>
      </w:r>
    </w:p>
    <w:p w14:paraId="43C97B37" w14:textId="77777777" w:rsidR="009F0CE9" w:rsidRPr="00970E40" w:rsidRDefault="009F0CE9" w:rsidP="009F0CE9">
      <w:pPr>
        <w:rPr>
          <w:rFonts w:eastAsia="Times New Roman" w:cs="Times New Roman"/>
          <w:iCs/>
          <w:lang w:val="en-US"/>
        </w:rPr>
      </w:pPr>
    </w:p>
    <w:p w14:paraId="2388CFBD" w14:textId="43CB8A63" w:rsidR="009F0CE9" w:rsidRPr="00970E40" w:rsidRDefault="009F0CE9" w:rsidP="009F0CE9">
      <w:pPr>
        <w:rPr>
          <w:rFonts w:eastAsia="Times New Roman" w:cs="Times New Roman"/>
          <w:lang w:val="en-US"/>
        </w:rPr>
      </w:pPr>
      <w:r w:rsidRPr="00970E40">
        <w:rPr>
          <w:rFonts w:eastAsia="Times New Roman" w:cs="Times New Roman"/>
          <w:lang w:val="en-US"/>
        </w:rPr>
        <w:t xml:space="preserve">S.J. Heyworth and G.C. Trimble, ‘Further notes on the text and interpretation of Catullus’, </w:t>
      </w:r>
      <w:r w:rsidRPr="00970E40">
        <w:rPr>
          <w:rFonts w:eastAsia="Times New Roman" w:cs="Times New Roman"/>
          <w:i/>
          <w:lang w:val="en-US"/>
        </w:rPr>
        <w:t>Paideia</w:t>
      </w:r>
      <w:r w:rsidRPr="00970E40">
        <w:rPr>
          <w:rFonts w:eastAsia="Times New Roman" w:cs="Times New Roman"/>
          <w:lang w:val="en-US"/>
        </w:rPr>
        <w:t xml:space="preserve"> 74 (2019)</w:t>
      </w:r>
      <w:r>
        <w:rPr>
          <w:rFonts w:eastAsia="Times New Roman" w:cs="Times New Roman"/>
          <w:lang w:val="en-US"/>
        </w:rPr>
        <w:t xml:space="preserve"> 215-34</w:t>
      </w:r>
    </w:p>
    <w:p w14:paraId="52964892" w14:textId="77777777" w:rsidR="009F0CE9" w:rsidRPr="00970E40" w:rsidRDefault="009F0CE9" w:rsidP="009F0CE9">
      <w:pPr>
        <w:rPr>
          <w:rFonts w:eastAsia="Times New Roman" w:cs="Times New Roman"/>
        </w:rPr>
      </w:pPr>
    </w:p>
    <w:p w14:paraId="6A6AEABE" w14:textId="77777777" w:rsidR="009F0CE9" w:rsidRPr="00CC2323" w:rsidRDefault="009F0CE9" w:rsidP="009F0CE9">
      <w:pPr>
        <w:rPr>
          <w:rFonts w:eastAsia="Times New Roman" w:cs="Times New Roman"/>
        </w:rPr>
      </w:pPr>
      <w:r w:rsidRPr="00970E40">
        <w:rPr>
          <w:rFonts w:eastAsia="Times New Roman" w:cs="Times New Roman"/>
        </w:rPr>
        <w:t xml:space="preserve">‘Echoes and reflections in Catullus’ long poems’, in </w:t>
      </w:r>
      <w:r w:rsidRPr="00970E40">
        <w:t xml:space="preserve">S. </w:t>
      </w:r>
      <w:proofErr w:type="spellStart"/>
      <w:r w:rsidRPr="00970E40">
        <w:t>Frangoulidis</w:t>
      </w:r>
      <w:proofErr w:type="spellEnd"/>
      <w:r w:rsidRPr="00970E40">
        <w:t>, S.J. Harrison and T.</w:t>
      </w:r>
      <w:r w:rsidRPr="00CC2323">
        <w:t xml:space="preserve"> </w:t>
      </w:r>
      <w:proofErr w:type="spellStart"/>
      <w:r w:rsidRPr="00CC2323">
        <w:t>Papanghelis</w:t>
      </w:r>
      <w:proofErr w:type="spellEnd"/>
      <w:r w:rsidRPr="00CC2323">
        <w:t xml:space="preserve"> eds.</w:t>
      </w:r>
      <w:r w:rsidRPr="00CC2323">
        <w:rPr>
          <w:rFonts w:eastAsia="Times New Roman" w:cs="Times New Roman"/>
          <w:i/>
        </w:rPr>
        <w:t xml:space="preserve"> Intratextuality and </w:t>
      </w:r>
      <w:r>
        <w:rPr>
          <w:rFonts w:eastAsia="Times New Roman" w:cs="Times New Roman"/>
          <w:i/>
        </w:rPr>
        <w:t>Latin</w:t>
      </w:r>
      <w:r w:rsidRPr="00CC2323">
        <w:rPr>
          <w:rFonts w:eastAsia="Times New Roman" w:cs="Times New Roman"/>
          <w:i/>
        </w:rPr>
        <w:t xml:space="preserve"> Literature</w:t>
      </w:r>
      <w:r w:rsidRPr="00CC2323">
        <w:rPr>
          <w:rFonts w:eastAsia="Times New Roman" w:cs="Times New Roman"/>
        </w:rPr>
        <w:t xml:space="preserve">, </w:t>
      </w:r>
      <w:r w:rsidRPr="00CC2323">
        <w:rPr>
          <w:rFonts w:eastAsia="Times New Roman" w:cs="Times New Roman"/>
          <w:i/>
        </w:rPr>
        <w:t>Trends in Classics</w:t>
      </w:r>
      <w:r>
        <w:rPr>
          <w:rFonts w:eastAsia="Times New Roman" w:cs="Times New Roman"/>
        </w:rPr>
        <w:t xml:space="preserve"> Supplementary V</w:t>
      </w:r>
      <w:r w:rsidRPr="00CC2323">
        <w:rPr>
          <w:rFonts w:eastAsia="Times New Roman" w:cs="Times New Roman"/>
        </w:rPr>
        <w:t>olume</w:t>
      </w:r>
      <w:r>
        <w:rPr>
          <w:rFonts w:eastAsia="Times New Roman" w:cs="Times New Roman"/>
        </w:rPr>
        <w:t>s 69</w:t>
      </w:r>
      <w:r w:rsidRPr="00CC2323">
        <w:rPr>
          <w:rFonts w:eastAsia="Times New Roman" w:cs="Times New Roman"/>
        </w:rPr>
        <w:t xml:space="preserve"> (de Gruyter</w:t>
      </w:r>
      <w:r>
        <w:rPr>
          <w:rFonts w:eastAsia="Times New Roman" w:cs="Times New Roman"/>
        </w:rPr>
        <w:t xml:space="preserve"> </w:t>
      </w:r>
      <w:r w:rsidRPr="00CC2323">
        <w:rPr>
          <w:rFonts w:eastAsia="Times New Roman" w:cs="Times New Roman"/>
        </w:rPr>
        <w:t>2018)</w:t>
      </w:r>
      <w:r>
        <w:rPr>
          <w:rFonts w:eastAsia="Times New Roman" w:cs="Times New Roman"/>
        </w:rPr>
        <w:t xml:space="preserve"> 35-53</w:t>
      </w:r>
    </w:p>
    <w:p w14:paraId="17E66EF9" w14:textId="77777777" w:rsidR="00232003" w:rsidRDefault="00232003" w:rsidP="00232003">
      <w:pPr>
        <w:rPr>
          <w:rFonts w:cs="Times New Roman"/>
          <w:i/>
          <w:szCs w:val="22"/>
        </w:rPr>
      </w:pPr>
    </w:p>
    <w:p w14:paraId="7E3BFB94" w14:textId="2527B9BB" w:rsidR="00232003" w:rsidRPr="00360903" w:rsidRDefault="00232003" w:rsidP="00232003">
      <w:r w:rsidRPr="00360903">
        <w:rPr>
          <w:rFonts w:cs="Times New Roman"/>
          <w:szCs w:val="22"/>
        </w:rPr>
        <w:t>‘</w:t>
      </w:r>
      <w:r w:rsidRPr="00360903">
        <w:t>Depicting and describing (Bacchus and) Ariadne: Titian, ancient painting, and Catullus</w:t>
      </w:r>
      <w:r>
        <w:t xml:space="preserve">’, </w:t>
      </w:r>
      <w:r>
        <w:rPr>
          <w:i/>
        </w:rPr>
        <w:t>Omnibus</w:t>
      </w:r>
      <w:r>
        <w:t xml:space="preserve"> 70 (September 2015) 15-17</w:t>
      </w:r>
    </w:p>
    <w:p w14:paraId="67B898E7" w14:textId="77777777" w:rsidR="000855FA" w:rsidRDefault="000855FA" w:rsidP="000855FA">
      <w:pPr>
        <w:rPr>
          <w:bCs/>
        </w:rPr>
      </w:pPr>
    </w:p>
    <w:p w14:paraId="2FCEC4AA" w14:textId="77777777" w:rsidR="000855FA" w:rsidRPr="00FB04A0" w:rsidRDefault="000855FA" w:rsidP="000855FA">
      <w:pPr>
        <w:rPr>
          <w:rFonts w:cs="Times New Roman"/>
          <w:szCs w:val="22"/>
        </w:rPr>
      </w:pPr>
      <w:r w:rsidRPr="00801719">
        <w:rPr>
          <w:rFonts w:cs="Times New Roman"/>
          <w:szCs w:val="22"/>
        </w:rPr>
        <w:t>20+ entries</w:t>
      </w:r>
      <w:r>
        <w:rPr>
          <w:rFonts w:cs="Times New Roman"/>
          <w:szCs w:val="22"/>
        </w:rPr>
        <w:t xml:space="preserve"> including ‘Embroidery’, ‘Weaving’, ‘Couches’, ‘Wreaths’</w:t>
      </w:r>
      <w:r w:rsidRPr="00801719">
        <w:rPr>
          <w:rFonts w:cs="Times New Roman"/>
          <w:szCs w:val="22"/>
        </w:rPr>
        <w:t xml:space="preserve"> in R.F. Thomas and J. </w:t>
      </w:r>
      <w:proofErr w:type="spellStart"/>
      <w:r w:rsidRPr="00801719">
        <w:rPr>
          <w:rFonts w:cs="Times New Roman"/>
          <w:szCs w:val="22"/>
        </w:rPr>
        <w:t>Ziolkowski</w:t>
      </w:r>
      <w:proofErr w:type="spellEnd"/>
      <w:r w:rsidRPr="00801719">
        <w:rPr>
          <w:rFonts w:cs="Times New Roman"/>
          <w:szCs w:val="22"/>
        </w:rPr>
        <w:t xml:space="preserve"> eds. </w:t>
      </w:r>
      <w:r w:rsidRPr="00801719">
        <w:rPr>
          <w:rFonts w:cs="Times New Roman"/>
          <w:i/>
          <w:szCs w:val="22"/>
        </w:rPr>
        <w:t>The Virgil Encyclopedia</w:t>
      </w:r>
      <w:r>
        <w:rPr>
          <w:rFonts w:cs="Times New Roman"/>
          <w:szCs w:val="22"/>
        </w:rPr>
        <w:t xml:space="preserve"> (Wiley-Blackwell 2014</w:t>
      </w:r>
      <w:r w:rsidRPr="00801719">
        <w:rPr>
          <w:rFonts w:cs="Times New Roman"/>
          <w:szCs w:val="22"/>
        </w:rPr>
        <w:t>)</w:t>
      </w:r>
    </w:p>
    <w:p w14:paraId="421E12D2" w14:textId="77777777" w:rsidR="0088461E" w:rsidRDefault="0088461E" w:rsidP="0088461E"/>
    <w:p w14:paraId="16C4CE92" w14:textId="77777777" w:rsidR="0088461E" w:rsidRDefault="0088461E" w:rsidP="0088461E">
      <w:pPr>
        <w:rPr>
          <w:bCs/>
        </w:rPr>
      </w:pPr>
      <w:r w:rsidRPr="007C5937">
        <w:rPr>
          <w:bCs/>
          <w:szCs w:val="22"/>
        </w:rPr>
        <w:t xml:space="preserve">‘Catullus 64 and the prophetic voice in Virgil’s fourth </w:t>
      </w:r>
      <w:r w:rsidRPr="007C5937">
        <w:rPr>
          <w:bCs/>
          <w:i/>
          <w:szCs w:val="22"/>
        </w:rPr>
        <w:t>Eclogue</w:t>
      </w:r>
      <w:r w:rsidRPr="007C5937">
        <w:rPr>
          <w:bCs/>
          <w:szCs w:val="22"/>
        </w:rPr>
        <w:t xml:space="preserve">’, </w:t>
      </w:r>
      <w:r w:rsidRPr="007C5937">
        <w:rPr>
          <w:bCs/>
        </w:rPr>
        <w:t xml:space="preserve">in D.P. Nelis </w:t>
      </w:r>
      <w:r>
        <w:rPr>
          <w:bCs/>
        </w:rPr>
        <w:t xml:space="preserve">and J. Farrell </w:t>
      </w:r>
      <w:r w:rsidRPr="007C5937">
        <w:rPr>
          <w:bCs/>
        </w:rPr>
        <w:t xml:space="preserve">eds. </w:t>
      </w:r>
      <w:r>
        <w:rPr>
          <w:bCs/>
          <w:i/>
        </w:rPr>
        <w:t>Augustan P</w:t>
      </w:r>
      <w:r w:rsidRPr="007C5937">
        <w:rPr>
          <w:bCs/>
          <w:i/>
        </w:rPr>
        <w:t>oetry</w:t>
      </w:r>
      <w:r>
        <w:rPr>
          <w:bCs/>
          <w:i/>
        </w:rPr>
        <w:t xml:space="preserve"> and the Roman Republic</w:t>
      </w:r>
      <w:r>
        <w:rPr>
          <w:bCs/>
        </w:rPr>
        <w:t xml:space="preserve"> (OUP 2013</w:t>
      </w:r>
      <w:r w:rsidRPr="007C5937">
        <w:rPr>
          <w:bCs/>
        </w:rPr>
        <w:t>)</w:t>
      </w:r>
      <w:r>
        <w:rPr>
          <w:bCs/>
        </w:rPr>
        <w:t xml:space="preserve"> 263-77</w:t>
      </w:r>
    </w:p>
    <w:p w14:paraId="17356712" w14:textId="77777777" w:rsidR="003A519C" w:rsidRPr="00A03F36" w:rsidRDefault="003A519C" w:rsidP="003A519C">
      <w:pPr>
        <w:rPr>
          <w:rFonts w:cs="Times New Roman"/>
          <w:szCs w:val="22"/>
        </w:rPr>
      </w:pPr>
    </w:p>
    <w:p w14:paraId="76BFE192" w14:textId="77777777" w:rsidR="00FB04A0" w:rsidRPr="00FB04A0" w:rsidRDefault="00FB04A0" w:rsidP="003A519C">
      <w:pPr>
        <w:rPr>
          <w:bCs/>
        </w:rPr>
      </w:pPr>
      <w:r>
        <w:rPr>
          <w:bCs/>
        </w:rPr>
        <w:t xml:space="preserve">Review of M. Squire, </w:t>
      </w:r>
      <w:r>
        <w:rPr>
          <w:bCs/>
          <w:i/>
        </w:rPr>
        <w:t xml:space="preserve">The Iliad in a Nutshell: visualizing epic on the Tabulae </w:t>
      </w:r>
      <w:proofErr w:type="spellStart"/>
      <w:r>
        <w:rPr>
          <w:bCs/>
          <w:i/>
        </w:rPr>
        <w:t>Iliacae</w:t>
      </w:r>
      <w:proofErr w:type="spellEnd"/>
      <w:r>
        <w:rPr>
          <w:bCs/>
        </w:rPr>
        <w:t xml:space="preserve"> (OUP 2011), </w:t>
      </w:r>
      <w:r>
        <w:rPr>
          <w:bCs/>
          <w:i/>
        </w:rPr>
        <w:t>The Anglo-Hellenic Review</w:t>
      </w:r>
      <w:r>
        <w:rPr>
          <w:bCs/>
        </w:rPr>
        <w:t xml:space="preserve"> 47 (Spring 2013) 20</w:t>
      </w:r>
    </w:p>
    <w:p w14:paraId="3A3D9B8B" w14:textId="77777777" w:rsidR="00FB04A0" w:rsidRDefault="00FB04A0" w:rsidP="003A519C">
      <w:pPr>
        <w:rPr>
          <w:bCs/>
        </w:rPr>
      </w:pPr>
    </w:p>
    <w:p w14:paraId="688506EC" w14:textId="77777777" w:rsidR="003A519C" w:rsidRPr="003A519C" w:rsidRDefault="003A519C" w:rsidP="003A519C">
      <w:pPr>
        <w:rPr>
          <w:bCs/>
        </w:rPr>
      </w:pPr>
      <w:r>
        <w:rPr>
          <w:bCs/>
        </w:rPr>
        <w:t>‘Serious games’, r</w:t>
      </w:r>
      <w:r w:rsidRPr="00A03F36">
        <w:rPr>
          <w:bCs/>
        </w:rPr>
        <w:t xml:space="preserve">eview of I. Me. Le M. Du Quesnay and A.J. Woodman eds. </w:t>
      </w:r>
      <w:r w:rsidR="00FB04A0">
        <w:rPr>
          <w:bCs/>
          <w:i/>
        </w:rPr>
        <w:t>Catullus: poems, books, r</w:t>
      </w:r>
      <w:r w:rsidRPr="00A03F36">
        <w:rPr>
          <w:bCs/>
          <w:i/>
        </w:rPr>
        <w:t>eaders</w:t>
      </w:r>
      <w:r w:rsidRPr="00A03F36">
        <w:rPr>
          <w:bCs/>
        </w:rPr>
        <w:t xml:space="preserve"> (CUP 2012), </w:t>
      </w:r>
      <w:r w:rsidRPr="00A03F36">
        <w:rPr>
          <w:bCs/>
          <w:i/>
        </w:rPr>
        <w:t>TLS</w:t>
      </w:r>
      <w:r>
        <w:rPr>
          <w:bCs/>
        </w:rPr>
        <w:t xml:space="preserve"> 5 April 2013</w:t>
      </w:r>
    </w:p>
    <w:p w14:paraId="52678D5C" w14:textId="77777777" w:rsidR="00D3642E" w:rsidRPr="007C5937" w:rsidRDefault="00D3642E" w:rsidP="00D3642E">
      <w:pPr>
        <w:rPr>
          <w:bCs/>
        </w:rPr>
      </w:pPr>
    </w:p>
    <w:p w14:paraId="69A6E566" w14:textId="77777777" w:rsidR="00D3642E" w:rsidRPr="00C34E2E" w:rsidRDefault="00D3642E" w:rsidP="00D3642E">
      <w:r w:rsidRPr="007C5937">
        <w:t xml:space="preserve">‘Catullus 64: the perfect epyllion?’, in M. Baumbach and S. </w:t>
      </w:r>
      <w:proofErr w:type="spellStart"/>
      <w:r w:rsidRPr="007C5937">
        <w:t>Bär</w:t>
      </w:r>
      <w:proofErr w:type="spellEnd"/>
      <w:r w:rsidRPr="007C5937">
        <w:t xml:space="preserve"> eds. </w:t>
      </w:r>
      <w:r>
        <w:rPr>
          <w:i/>
          <w:iCs/>
        </w:rPr>
        <w:t>Brill’s C</w:t>
      </w:r>
      <w:r w:rsidRPr="007C5937">
        <w:rPr>
          <w:i/>
          <w:iCs/>
        </w:rPr>
        <w:t xml:space="preserve">ompanion to Greek and </w:t>
      </w:r>
      <w:r>
        <w:rPr>
          <w:i/>
          <w:iCs/>
        </w:rPr>
        <w:t>Latin</w:t>
      </w:r>
      <w:r w:rsidRPr="007C5937">
        <w:rPr>
          <w:i/>
          <w:iCs/>
        </w:rPr>
        <w:t xml:space="preserve"> </w:t>
      </w:r>
      <w:r>
        <w:rPr>
          <w:i/>
          <w:iCs/>
        </w:rPr>
        <w:t>E</w:t>
      </w:r>
      <w:r w:rsidRPr="007C5937">
        <w:rPr>
          <w:i/>
          <w:iCs/>
        </w:rPr>
        <w:t>pyllion</w:t>
      </w:r>
      <w:r>
        <w:rPr>
          <w:i/>
          <w:iCs/>
        </w:rPr>
        <w:t xml:space="preserve"> and Its Reception</w:t>
      </w:r>
      <w:r>
        <w:t xml:space="preserve"> (Brill 2012</w:t>
      </w:r>
      <w:r w:rsidRPr="007C5937">
        <w:t>)</w:t>
      </w:r>
      <w:r>
        <w:t xml:space="preserve"> </w:t>
      </w:r>
      <w:r w:rsidR="00C34E2E">
        <w:t>55-79</w:t>
      </w:r>
    </w:p>
    <w:p w14:paraId="42BB783C" w14:textId="77777777" w:rsidR="00D3642E" w:rsidRDefault="00D3642E" w:rsidP="00D3642E">
      <w:pPr>
        <w:rPr>
          <w:bCs/>
          <w:color w:val="0000FF"/>
        </w:rPr>
      </w:pPr>
    </w:p>
    <w:p w14:paraId="2D006B24" w14:textId="77777777" w:rsidR="00D3642E" w:rsidRPr="00D3642E" w:rsidRDefault="00D3642E" w:rsidP="00D3642E">
      <w:pPr>
        <w:rPr>
          <w:bCs/>
        </w:rPr>
      </w:pPr>
      <w:r>
        <w:rPr>
          <w:bCs/>
        </w:rPr>
        <w:t xml:space="preserve">Review of S.C. Stroup, </w:t>
      </w:r>
      <w:r w:rsidRPr="00367BCD">
        <w:rPr>
          <w:bCs/>
          <w:i/>
        </w:rPr>
        <w:t>Catullus</w:t>
      </w:r>
      <w:r>
        <w:rPr>
          <w:bCs/>
          <w:i/>
        </w:rPr>
        <w:t>, Cicero, and a Society of Patrons</w:t>
      </w:r>
      <w:r>
        <w:rPr>
          <w:bCs/>
        </w:rPr>
        <w:t xml:space="preserve"> (OUP 2010), </w:t>
      </w:r>
      <w:r>
        <w:rPr>
          <w:bCs/>
          <w:i/>
        </w:rPr>
        <w:t>JRS</w:t>
      </w:r>
      <w:r>
        <w:rPr>
          <w:bCs/>
        </w:rPr>
        <w:t xml:space="preserve"> 102 (2012) 378-9</w:t>
      </w:r>
    </w:p>
    <w:p w14:paraId="041B19A6" w14:textId="77777777" w:rsidR="00AF1C04" w:rsidRPr="007C5937" w:rsidRDefault="00AF1C04" w:rsidP="00AF1C04">
      <w:pPr>
        <w:rPr>
          <w:bCs/>
          <w:szCs w:val="22"/>
        </w:rPr>
      </w:pPr>
    </w:p>
    <w:p w14:paraId="1EB3B96B" w14:textId="77777777" w:rsidR="007F6C5A" w:rsidRPr="007F6C5A" w:rsidRDefault="007F6C5A" w:rsidP="00AF1C04">
      <w:pPr>
        <w:rPr>
          <w:bCs/>
        </w:rPr>
      </w:pPr>
      <w:r>
        <w:rPr>
          <w:bCs/>
        </w:rPr>
        <w:t xml:space="preserve">Review of S.J. Green and K. Volk eds. </w:t>
      </w:r>
      <w:r w:rsidR="00FB04A0">
        <w:rPr>
          <w:bCs/>
          <w:i/>
        </w:rPr>
        <w:t>Forgotten Stars: r</w:t>
      </w:r>
      <w:r>
        <w:rPr>
          <w:bCs/>
          <w:i/>
        </w:rPr>
        <w:t xml:space="preserve">ediscovering Manilius’ </w:t>
      </w:r>
      <w:proofErr w:type="spellStart"/>
      <w:r>
        <w:rPr>
          <w:bCs/>
          <w:i/>
        </w:rPr>
        <w:t>Astronomica</w:t>
      </w:r>
      <w:proofErr w:type="spellEnd"/>
      <w:r>
        <w:rPr>
          <w:bCs/>
        </w:rPr>
        <w:t xml:space="preserve"> (OUP 2011), </w:t>
      </w:r>
      <w:r>
        <w:rPr>
          <w:bCs/>
          <w:i/>
        </w:rPr>
        <w:t>CR</w:t>
      </w:r>
      <w:r>
        <w:rPr>
          <w:bCs/>
        </w:rPr>
        <w:t xml:space="preserve"> 62 (2012) 514-16</w:t>
      </w:r>
    </w:p>
    <w:p w14:paraId="6FDCF59D" w14:textId="77777777" w:rsidR="008E6991" w:rsidRPr="007C5937" w:rsidRDefault="008E6991" w:rsidP="008E6991">
      <w:pPr>
        <w:rPr>
          <w:bCs/>
          <w:szCs w:val="22"/>
        </w:rPr>
      </w:pPr>
    </w:p>
    <w:p w14:paraId="0AC78DA3" w14:textId="77777777" w:rsidR="008E6991" w:rsidRPr="008E6991" w:rsidRDefault="008E6991" w:rsidP="008E6991">
      <w:pPr>
        <w:rPr>
          <w:color w:val="0000FF"/>
        </w:rPr>
      </w:pPr>
      <w:r>
        <w:t xml:space="preserve">‘Catullus and “comment in English”: the tradition of the expurgated commentary before Fordyce’, in S.J. Harrison and C. Stray eds. </w:t>
      </w:r>
      <w:r>
        <w:rPr>
          <w:i/>
        </w:rPr>
        <w:t>Expurgating the Classics</w:t>
      </w:r>
      <w:r>
        <w:t xml:space="preserve"> (Bloomsbury 2012) </w:t>
      </w:r>
      <w:r w:rsidR="00F9229E">
        <w:t>143-62</w:t>
      </w:r>
    </w:p>
    <w:p w14:paraId="24915499" w14:textId="77777777" w:rsidR="008353E3" w:rsidRDefault="008353E3" w:rsidP="008353E3">
      <w:pPr>
        <w:rPr>
          <w:bCs/>
        </w:rPr>
      </w:pPr>
    </w:p>
    <w:p w14:paraId="766735C4" w14:textId="77777777" w:rsidR="008353E3" w:rsidRPr="00860163" w:rsidRDefault="008353E3" w:rsidP="008353E3">
      <w:pPr>
        <w:rPr>
          <w:bCs/>
        </w:rPr>
      </w:pPr>
      <w:r>
        <w:rPr>
          <w:bCs/>
        </w:rPr>
        <w:t xml:space="preserve">‘Epyllion’, in S. Hornblower and A.J.S. </w:t>
      </w:r>
      <w:proofErr w:type="spellStart"/>
      <w:r>
        <w:rPr>
          <w:bCs/>
        </w:rPr>
        <w:t>Spawforth</w:t>
      </w:r>
      <w:proofErr w:type="spellEnd"/>
      <w:r>
        <w:rPr>
          <w:bCs/>
        </w:rPr>
        <w:t xml:space="preserve"> eds. </w:t>
      </w:r>
      <w:r>
        <w:rPr>
          <w:bCs/>
          <w:i/>
        </w:rPr>
        <w:t>The Oxford Classical Dictionary</w:t>
      </w:r>
      <w:r>
        <w:rPr>
          <w:bCs/>
        </w:rPr>
        <w:t xml:space="preserve"> (fourth edition) (OUP 2012)</w:t>
      </w:r>
    </w:p>
    <w:p w14:paraId="70868547" w14:textId="77777777" w:rsidR="007F6C5A" w:rsidRDefault="007F6C5A" w:rsidP="00AF1C04">
      <w:pPr>
        <w:rPr>
          <w:bCs/>
          <w:szCs w:val="22"/>
        </w:rPr>
      </w:pPr>
    </w:p>
    <w:p w14:paraId="73B3F657" w14:textId="77777777" w:rsidR="00E11B6D" w:rsidRPr="00E11B6D" w:rsidRDefault="00E11B6D" w:rsidP="00AF1C04">
      <w:pPr>
        <w:rPr>
          <w:bCs/>
          <w:szCs w:val="22"/>
        </w:rPr>
      </w:pPr>
      <w:r>
        <w:rPr>
          <w:bCs/>
          <w:szCs w:val="22"/>
        </w:rPr>
        <w:t xml:space="preserve">‘How the Romans read’, review of </w:t>
      </w:r>
      <w:r w:rsidR="00DB5217">
        <w:rPr>
          <w:bCs/>
          <w:szCs w:val="22"/>
        </w:rPr>
        <w:t xml:space="preserve">S. Butler, </w:t>
      </w:r>
      <w:r w:rsidR="00DB5217">
        <w:rPr>
          <w:bCs/>
          <w:i/>
          <w:szCs w:val="22"/>
        </w:rPr>
        <w:t>The Matter of the Page</w:t>
      </w:r>
      <w:r w:rsidR="00DB5217">
        <w:rPr>
          <w:bCs/>
          <w:szCs w:val="22"/>
        </w:rPr>
        <w:t xml:space="preserve"> (University of Wisconsin Press, 2011)</w:t>
      </w:r>
      <w:r>
        <w:rPr>
          <w:bCs/>
          <w:szCs w:val="22"/>
        </w:rPr>
        <w:t xml:space="preserve"> and </w:t>
      </w:r>
      <w:r w:rsidR="00DB5217">
        <w:rPr>
          <w:bCs/>
          <w:szCs w:val="22"/>
        </w:rPr>
        <w:t xml:space="preserve">W.A. Johnson, </w:t>
      </w:r>
      <w:r w:rsidR="00DB5217">
        <w:rPr>
          <w:bCs/>
          <w:i/>
          <w:szCs w:val="22"/>
        </w:rPr>
        <w:t>Readers and Reading Culture in the High Roman Empire</w:t>
      </w:r>
      <w:r w:rsidR="007F6C5A">
        <w:rPr>
          <w:bCs/>
          <w:szCs w:val="22"/>
        </w:rPr>
        <w:t xml:space="preserve"> (OUP</w:t>
      </w:r>
      <w:r w:rsidR="00DB5217">
        <w:rPr>
          <w:bCs/>
          <w:szCs w:val="22"/>
        </w:rPr>
        <w:t xml:space="preserve"> 2010)</w:t>
      </w:r>
      <w:r>
        <w:rPr>
          <w:bCs/>
          <w:szCs w:val="22"/>
        </w:rPr>
        <w:t xml:space="preserve">, </w:t>
      </w:r>
      <w:r>
        <w:rPr>
          <w:bCs/>
          <w:i/>
          <w:szCs w:val="22"/>
        </w:rPr>
        <w:t>TLS</w:t>
      </w:r>
      <w:r>
        <w:rPr>
          <w:bCs/>
          <w:szCs w:val="22"/>
        </w:rPr>
        <w:t xml:space="preserve"> 1 July 2011</w:t>
      </w:r>
    </w:p>
    <w:p w14:paraId="59FE6A0E" w14:textId="77777777" w:rsidR="00E11B6D" w:rsidRDefault="00E11B6D" w:rsidP="00AF1C04">
      <w:pPr>
        <w:rPr>
          <w:bCs/>
          <w:szCs w:val="22"/>
        </w:rPr>
      </w:pPr>
    </w:p>
    <w:p w14:paraId="10377E12" w14:textId="77777777" w:rsidR="00AF1C04" w:rsidRPr="00AF1C04" w:rsidRDefault="00AF1C04" w:rsidP="00AF1C04">
      <w:pPr>
        <w:rPr>
          <w:bCs/>
          <w:szCs w:val="22"/>
        </w:rPr>
      </w:pPr>
      <w:r w:rsidRPr="00AF1C04">
        <w:rPr>
          <w:bCs/>
          <w:szCs w:val="22"/>
        </w:rPr>
        <w:t xml:space="preserve">Review of </w:t>
      </w:r>
      <w:r>
        <w:rPr>
          <w:rFonts w:cs="Helvetica"/>
          <w:bCs/>
          <w:szCs w:val="28"/>
          <w:lang w:val="en-US"/>
        </w:rPr>
        <w:t>C. Battistella ed.</w:t>
      </w:r>
      <w:r w:rsidRPr="00AF1C04">
        <w:rPr>
          <w:rFonts w:cs="Helvetica"/>
          <w:bCs/>
          <w:szCs w:val="28"/>
          <w:lang w:val="en-US"/>
        </w:rPr>
        <w:t xml:space="preserve"> </w:t>
      </w:r>
      <w:r w:rsidRPr="00AF1C04">
        <w:rPr>
          <w:rFonts w:cs="Helvetica"/>
          <w:bCs/>
          <w:i/>
          <w:iCs/>
          <w:szCs w:val="28"/>
          <w:lang w:val="en-US"/>
        </w:rPr>
        <w:t xml:space="preserve">P. </w:t>
      </w:r>
      <w:proofErr w:type="spellStart"/>
      <w:r w:rsidRPr="00AF1C04">
        <w:rPr>
          <w:rFonts w:cs="Helvetica"/>
          <w:bCs/>
          <w:i/>
          <w:iCs/>
          <w:szCs w:val="28"/>
          <w:lang w:val="en-US"/>
        </w:rPr>
        <w:t>Ovidii</w:t>
      </w:r>
      <w:proofErr w:type="spellEnd"/>
      <w:r w:rsidRPr="00AF1C04">
        <w:rPr>
          <w:rFonts w:cs="Helvetica"/>
          <w:bCs/>
          <w:i/>
          <w:iCs/>
          <w:szCs w:val="28"/>
          <w:lang w:val="en-US"/>
        </w:rPr>
        <w:t xml:space="preserve"> </w:t>
      </w:r>
      <w:proofErr w:type="spellStart"/>
      <w:r w:rsidRPr="00AF1C04">
        <w:rPr>
          <w:rFonts w:cs="Helvetica"/>
          <w:bCs/>
          <w:i/>
          <w:iCs/>
          <w:szCs w:val="28"/>
          <w:lang w:val="en-US"/>
        </w:rPr>
        <w:t>Nasonis</w:t>
      </w:r>
      <w:proofErr w:type="spellEnd"/>
      <w:r w:rsidRPr="00AF1C04">
        <w:rPr>
          <w:rFonts w:cs="Helvetica"/>
          <w:bCs/>
          <w:i/>
          <w:iCs/>
          <w:szCs w:val="28"/>
          <w:lang w:val="en-US"/>
        </w:rPr>
        <w:t xml:space="preserve"> </w:t>
      </w:r>
      <w:r>
        <w:rPr>
          <w:rFonts w:cs="Helvetica"/>
          <w:bCs/>
          <w:i/>
          <w:iCs/>
          <w:szCs w:val="28"/>
          <w:lang w:val="en-US"/>
        </w:rPr>
        <w:t>‘</w:t>
      </w:r>
      <w:proofErr w:type="spellStart"/>
      <w:r w:rsidRPr="00AF1C04">
        <w:rPr>
          <w:rFonts w:cs="Helvetica"/>
          <w:bCs/>
          <w:i/>
          <w:iCs/>
          <w:szCs w:val="28"/>
          <w:lang w:val="en-US"/>
        </w:rPr>
        <w:t>Heroidum</w:t>
      </w:r>
      <w:proofErr w:type="spellEnd"/>
      <w:r w:rsidRPr="00AF1C04">
        <w:rPr>
          <w:rFonts w:cs="Helvetica"/>
          <w:bCs/>
          <w:i/>
          <w:iCs/>
          <w:szCs w:val="28"/>
          <w:lang w:val="en-US"/>
        </w:rPr>
        <w:t xml:space="preserve"> </w:t>
      </w:r>
      <w:proofErr w:type="spellStart"/>
      <w:r w:rsidRPr="00AF1C04">
        <w:rPr>
          <w:rFonts w:cs="Helvetica"/>
          <w:bCs/>
          <w:i/>
          <w:iCs/>
          <w:szCs w:val="28"/>
          <w:lang w:val="en-US"/>
        </w:rPr>
        <w:t>Epistula</w:t>
      </w:r>
      <w:proofErr w:type="spellEnd"/>
      <w:r>
        <w:rPr>
          <w:rFonts w:cs="Helvetica"/>
          <w:bCs/>
          <w:i/>
          <w:iCs/>
          <w:szCs w:val="28"/>
          <w:lang w:val="en-US"/>
        </w:rPr>
        <w:t>’</w:t>
      </w:r>
      <w:r w:rsidRPr="00AF1C04">
        <w:rPr>
          <w:rFonts w:cs="Helvetica"/>
          <w:bCs/>
          <w:i/>
          <w:iCs/>
          <w:szCs w:val="28"/>
          <w:lang w:val="en-US"/>
        </w:rPr>
        <w:t xml:space="preserve"> 10: Ariadne </w:t>
      </w:r>
      <w:proofErr w:type="spellStart"/>
      <w:r w:rsidRPr="00AF1C04">
        <w:rPr>
          <w:rFonts w:cs="Helvetica"/>
          <w:bCs/>
          <w:i/>
          <w:iCs/>
          <w:szCs w:val="28"/>
          <w:lang w:val="en-US"/>
        </w:rPr>
        <w:t>Theseo</w:t>
      </w:r>
      <w:proofErr w:type="spellEnd"/>
      <w:r w:rsidRPr="00AF1C04">
        <w:rPr>
          <w:rFonts w:cs="Helvetica"/>
          <w:bCs/>
          <w:i/>
          <w:iCs/>
          <w:szCs w:val="28"/>
          <w:lang w:val="en-US"/>
        </w:rPr>
        <w:t xml:space="preserve">. </w:t>
      </w:r>
      <w:proofErr w:type="spellStart"/>
      <w:r w:rsidRPr="00AF1C04">
        <w:rPr>
          <w:rFonts w:cs="Helvetica"/>
          <w:bCs/>
          <w:i/>
          <w:iCs/>
          <w:szCs w:val="28"/>
          <w:lang w:val="en-US"/>
        </w:rPr>
        <w:t>Introduzione</w:t>
      </w:r>
      <w:proofErr w:type="spellEnd"/>
      <w:r w:rsidRPr="00AF1C04">
        <w:rPr>
          <w:rFonts w:cs="Helvetica"/>
          <w:bCs/>
          <w:i/>
          <w:iCs/>
          <w:szCs w:val="28"/>
          <w:lang w:val="en-US"/>
        </w:rPr>
        <w:t xml:space="preserve">, testo e </w:t>
      </w:r>
      <w:proofErr w:type="spellStart"/>
      <w:r w:rsidRPr="00AF1C04">
        <w:rPr>
          <w:rFonts w:cs="Helvetica"/>
          <w:bCs/>
          <w:i/>
          <w:iCs/>
          <w:szCs w:val="28"/>
          <w:lang w:val="en-US"/>
        </w:rPr>
        <w:t>commento</w:t>
      </w:r>
      <w:proofErr w:type="spellEnd"/>
      <w:r>
        <w:rPr>
          <w:rFonts w:cs="Helvetica"/>
          <w:bCs/>
          <w:i/>
          <w:iCs/>
          <w:szCs w:val="28"/>
          <w:lang w:val="en-US"/>
        </w:rPr>
        <w:t xml:space="preserve"> </w:t>
      </w:r>
      <w:r>
        <w:rPr>
          <w:rFonts w:cs="Helvetica"/>
          <w:bCs/>
          <w:iCs/>
          <w:szCs w:val="28"/>
          <w:lang w:val="en-US"/>
        </w:rPr>
        <w:t>(</w:t>
      </w:r>
      <w:r w:rsidRPr="00AF1C04">
        <w:rPr>
          <w:rFonts w:cs="Helvetica"/>
          <w:bCs/>
          <w:szCs w:val="28"/>
          <w:lang w:val="en-US"/>
        </w:rPr>
        <w:t>De Gruyter, 2010</w:t>
      </w:r>
      <w:r>
        <w:rPr>
          <w:rFonts w:cs="Helvetica"/>
          <w:bCs/>
          <w:szCs w:val="28"/>
          <w:lang w:val="en-US"/>
        </w:rPr>
        <w:t xml:space="preserve">), </w:t>
      </w:r>
      <w:r>
        <w:rPr>
          <w:rFonts w:cs="Helvetica"/>
          <w:bCs/>
          <w:i/>
          <w:szCs w:val="28"/>
          <w:lang w:val="en-US"/>
        </w:rPr>
        <w:t>BMCR</w:t>
      </w:r>
      <w:r>
        <w:rPr>
          <w:rFonts w:cs="Helvetica"/>
          <w:bCs/>
          <w:szCs w:val="28"/>
          <w:lang w:val="en-US"/>
        </w:rPr>
        <w:t xml:space="preserve"> 2011.05.60</w:t>
      </w:r>
    </w:p>
    <w:p w14:paraId="3BEC29FE" w14:textId="77777777" w:rsidR="00AF1C04" w:rsidRPr="00AF1C04" w:rsidRDefault="00AF1C04" w:rsidP="00AF1C04">
      <w:pPr>
        <w:rPr>
          <w:bCs/>
          <w:szCs w:val="22"/>
        </w:rPr>
      </w:pPr>
    </w:p>
    <w:p w14:paraId="6E13CA9D" w14:textId="77777777" w:rsidR="00AF1C04" w:rsidRDefault="00AF1C04" w:rsidP="00AF1C04">
      <w:pPr>
        <w:rPr>
          <w:bCs/>
          <w:szCs w:val="22"/>
        </w:rPr>
      </w:pPr>
      <w:r>
        <w:rPr>
          <w:bCs/>
          <w:szCs w:val="22"/>
        </w:rPr>
        <w:t>Translator:</w:t>
      </w:r>
      <w:r w:rsidRPr="007C5937">
        <w:rPr>
          <w:bCs/>
          <w:szCs w:val="22"/>
        </w:rPr>
        <w:t xml:space="preserve"> L. Canfora, ‘Il </w:t>
      </w:r>
      <w:proofErr w:type="spellStart"/>
      <w:r w:rsidRPr="007C5937">
        <w:rPr>
          <w:bCs/>
          <w:szCs w:val="22"/>
        </w:rPr>
        <w:t>ciclo</w:t>
      </w:r>
      <w:proofErr w:type="spellEnd"/>
      <w:r w:rsidRPr="007C5937">
        <w:rPr>
          <w:bCs/>
          <w:szCs w:val="22"/>
        </w:rPr>
        <w:t xml:space="preserve"> </w:t>
      </w:r>
      <w:proofErr w:type="spellStart"/>
      <w:r w:rsidRPr="007C5937">
        <w:rPr>
          <w:bCs/>
          <w:szCs w:val="22"/>
        </w:rPr>
        <w:t>historico</w:t>
      </w:r>
      <w:proofErr w:type="spellEnd"/>
      <w:r w:rsidRPr="007C5937">
        <w:rPr>
          <w:bCs/>
          <w:szCs w:val="22"/>
        </w:rPr>
        <w:t xml:space="preserve">’, in J. </w:t>
      </w:r>
      <w:proofErr w:type="spellStart"/>
      <w:r w:rsidRPr="007C5937">
        <w:rPr>
          <w:bCs/>
          <w:szCs w:val="22"/>
        </w:rPr>
        <w:t>Marincola</w:t>
      </w:r>
      <w:proofErr w:type="spellEnd"/>
      <w:r w:rsidRPr="007C5937">
        <w:rPr>
          <w:bCs/>
          <w:szCs w:val="22"/>
        </w:rPr>
        <w:t xml:space="preserve"> ed. </w:t>
      </w:r>
      <w:r>
        <w:rPr>
          <w:bCs/>
          <w:i/>
          <w:szCs w:val="22"/>
        </w:rPr>
        <w:t>Oxford Readings in Classical S</w:t>
      </w:r>
      <w:r w:rsidRPr="007C5937">
        <w:rPr>
          <w:bCs/>
          <w:i/>
          <w:szCs w:val="22"/>
        </w:rPr>
        <w:t xml:space="preserve">tudies: </w:t>
      </w:r>
      <w:r>
        <w:rPr>
          <w:bCs/>
          <w:i/>
          <w:szCs w:val="22"/>
        </w:rPr>
        <w:t>Greek and Roman H</w:t>
      </w:r>
      <w:r w:rsidRPr="007C5937">
        <w:rPr>
          <w:bCs/>
          <w:i/>
          <w:szCs w:val="22"/>
        </w:rPr>
        <w:t>istoriography</w:t>
      </w:r>
      <w:r w:rsidR="007F6C5A">
        <w:rPr>
          <w:bCs/>
          <w:szCs w:val="22"/>
        </w:rPr>
        <w:t xml:space="preserve"> (OUP</w:t>
      </w:r>
      <w:r>
        <w:rPr>
          <w:bCs/>
          <w:szCs w:val="22"/>
        </w:rPr>
        <w:t xml:space="preserve"> 2011</w:t>
      </w:r>
      <w:r w:rsidRPr="007C5937">
        <w:rPr>
          <w:bCs/>
          <w:szCs w:val="22"/>
        </w:rPr>
        <w:t>)</w:t>
      </w:r>
    </w:p>
    <w:p w14:paraId="0850E4F8" w14:textId="77777777" w:rsidR="00AF1C04" w:rsidRPr="007C5937" w:rsidRDefault="00AF1C04" w:rsidP="00AF1C04">
      <w:pPr>
        <w:rPr>
          <w:bCs/>
          <w:szCs w:val="22"/>
        </w:rPr>
      </w:pPr>
    </w:p>
    <w:p w14:paraId="226CC25B" w14:textId="77777777" w:rsidR="00AF1C04" w:rsidRPr="007C5937" w:rsidRDefault="00AF1C04" w:rsidP="00AF1C04">
      <w:pPr>
        <w:rPr>
          <w:bCs/>
        </w:rPr>
      </w:pPr>
      <w:r>
        <w:rPr>
          <w:bCs/>
        </w:rPr>
        <w:t>Translator:</w:t>
      </w:r>
      <w:r w:rsidRPr="007C5937">
        <w:rPr>
          <w:bCs/>
        </w:rPr>
        <w:t xml:space="preserve"> L.O. Nielsen and C. </w:t>
      </w:r>
      <w:proofErr w:type="spellStart"/>
      <w:r w:rsidRPr="007C5937">
        <w:rPr>
          <w:bCs/>
        </w:rPr>
        <w:t>Trifogli</w:t>
      </w:r>
      <w:proofErr w:type="spellEnd"/>
      <w:r w:rsidRPr="007C5937">
        <w:rPr>
          <w:bCs/>
        </w:rPr>
        <w:t xml:space="preserve"> eds. </w:t>
      </w:r>
      <w:r w:rsidRPr="007C5937">
        <w:rPr>
          <w:bCs/>
          <w:i/>
        </w:rPr>
        <w:t xml:space="preserve">Thomas </w:t>
      </w:r>
      <w:proofErr w:type="spellStart"/>
      <w:r w:rsidRPr="007C5937">
        <w:rPr>
          <w:bCs/>
          <w:i/>
        </w:rPr>
        <w:t>Wylton</w:t>
      </w:r>
      <w:proofErr w:type="spellEnd"/>
      <w:r w:rsidRPr="007C5937">
        <w:rPr>
          <w:bCs/>
          <w:i/>
        </w:rPr>
        <w:t>:</w:t>
      </w:r>
      <w:r w:rsidRPr="007C5937">
        <w:rPr>
          <w:bCs/>
        </w:rPr>
        <w:t xml:space="preserve"> </w:t>
      </w:r>
      <w:r>
        <w:rPr>
          <w:bCs/>
          <w:i/>
        </w:rPr>
        <w:t>On the Intellectual S</w:t>
      </w:r>
      <w:r w:rsidRPr="007C5937">
        <w:rPr>
          <w:bCs/>
          <w:i/>
        </w:rPr>
        <w:t>oul</w:t>
      </w:r>
      <w:r w:rsidRPr="007C5937">
        <w:rPr>
          <w:bCs/>
        </w:rPr>
        <w:t xml:space="preserve">, </w:t>
      </w:r>
      <w:proofErr w:type="spellStart"/>
      <w:r w:rsidRPr="007C5937">
        <w:rPr>
          <w:bCs/>
        </w:rPr>
        <w:t>Auctores</w:t>
      </w:r>
      <w:proofErr w:type="spellEnd"/>
      <w:r w:rsidRPr="007C5937">
        <w:rPr>
          <w:bCs/>
        </w:rPr>
        <w:t xml:space="preserve"> </w:t>
      </w:r>
      <w:proofErr w:type="spellStart"/>
      <w:r w:rsidR="007F6C5A">
        <w:rPr>
          <w:bCs/>
        </w:rPr>
        <w:t>Britannici</w:t>
      </w:r>
      <w:proofErr w:type="spellEnd"/>
      <w:r w:rsidR="007F6C5A">
        <w:rPr>
          <w:bCs/>
        </w:rPr>
        <w:t xml:space="preserve"> </w:t>
      </w:r>
      <w:proofErr w:type="spellStart"/>
      <w:r w:rsidR="007F6C5A">
        <w:rPr>
          <w:bCs/>
        </w:rPr>
        <w:t>Medii</w:t>
      </w:r>
      <w:proofErr w:type="spellEnd"/>
      <w:r w:rsidR="007F6C5A">
        <w:rPr>
          <w:bCs/>
        </w:rPr>
        <w:t xml:space="preserve"> </w:t>
      </w:r>
      <w:proofErr w:type="spellStart"/>
      <w:r w:rsidR="007F6C5A">
        <w:rPr>
          <w:bCs/>
        </w:rPr>
        <w:t>Aevi</w:t>
      </w:r>
      <w:proofErr w:type="spellEnd"/>
      <w:r w:rsidR="007F6C5A">
        <w:rPr>
          <w:bCs/>
        </w:rPr>
        <w:t xml:space="preserve"> (OUP</w:t>
      </w:r>
      <w:r>
        <w:rPr>
          <w:bCs/>
        </w:rPr>
        <w:t xml:space="preserve"> 2010</w:t>
      </w:r>
      <w:r w:rsidRPr="007C5937">
        <w:rPr>
          <w:bCs/>
        </w:rPr>
        <w:t>)</w:t>
      </w:r>
    </w:p>
    <w:p w14:paraId="4168E2BE" w14:textId="77777777" w:rsidR="00AF1C04" w:rsidRPr="007C5937" w:rsidRDefault="00AF1C04" w:rsidP="00AF1C04">
      <w:pPr>
        <w:rPr>
          <w:bCs/>
        </w:rPr>
      </w:pPr>
    </w:p>
    <w:p w14:paraId="6FCF6A03" w14:textId="77777777" w:rsidR="00AF1C04" w:rsidRPr="007C5937" w:rsidRDefault="00AF1C04" w:rsidP="00AF1C04">
      <w:pPr>
        <w:rPr>
          <w:bCs/>
        </w:rPr>
      </w:pPr>
      <w:r w:rsidRPr="007C5937">
        <w:rPr>
          <w:bCs/>
        </w:rPr>
        <w:t xml:space="preserve">Review of J.H. Gaisser, </w:t>
      </w:r>
      <w:r w:rsidRPr="007C5937">
        <w:rPr>
          <w:bCs/>
          <w:i/>
        </w:rPr>
        <w:t>Catullus</w:t>
      </w:r>
      <w:r>
        <w:rPr>
          <w:bCs/>
        </w:rPr>
        <w:t>, Blackwell Introductions to the Classical W</w:t>
      </w:r>
      <w:r w:rsidRPr="007C5937">
        <w:rPr>
          <w:bCs/>
        </w:rPr>
        <w:t xml:space="preserve">orld (Wiley-Blackwell, 2009), </w:t>
      </w:r>
      <w:r w:rsidRPr="007C5937">
        <w:rPr>
          <w:bCs/>
          <w:i/>
        </w:rPr>
        <w:t>CR</w:t>
      </w:r>
      <w:r w:rsidRPr="007C5937">
        <w:rPr>
          <w:bCs/>
        </w:rPr>
        <w:t xml:space="preserve"> </w:t>
      </w:r>
      <w:r>
        <w:rPr>
          <w:bCs/>
        </w:rPr>
        <w:t>60 (</w:t>
      </w:r>
      <w:r w:rsidRPr="007C5937">
        <w:rPr>
          <w:bCs/>
        </w:rPr>
        <w:t>2010</w:t>
      </w:r>
      <w:r>
        <w:rPr>
          <w:bCs/>
        </w:rPr>
        <w:t>) 432-4</w:t>
      </w:r>
    </w:p>
    <w:p w14:paraId="0322F0E0" w14:textId="77777777" w:rsidR="00AF1C04" w:rsidRPr="007C5937" w:rsidRDefault="00AF1C04" w:rsidP="00AF1C04">
      <w:pPr>
        <w:rPr>
          <w:bCs/>
          <w:szCs w:val="22"/>
        </w:rPr>
      </w:pPr>
    </w:p>
    <w:p w14:paraId="6E7F778C" w14:textId="77777777" w:rsidR="00AF1C04" w:rsidRPr="007C5937" w:rsidRDefault="00AF1C04" w:rsidP="00AF1C04">
      <w:pPr>
        <w:rPr>
          <w:bCs/>
          <w:szCs w:val="22"/>
        </w:rPr>
      </w:pPr>
      <w:r w:rsidRPr="007C5937">
        <w:rPr>
          <w:bCs/>
          <w:szCs w:val="22"/>
        </w:rPr>
        <w:t>‘</w:t>
      </w:r>
      <w:proofErr w:type="spellStart"/>
      <w:r w:rsidRPr="007C5937">
        <w:rPr>
          <w:bCs/>
          <w:i/>
          <w:szCs w:val="22"/>
        </w:rPr>
        <w:t>Thesea</w:t>
      </w:r>
      <w:proofErr w:type="spellEnd"/>
      <w:r w:rsidRPr="007C5937">
        <w:rPr>
          <w:bCs/>
          <w:i/>
          <w:szCs w:val="22"/>
        </w:rPr>
        <w:t xml:space="preserve"> fide</w:t>
      </w:r>
      <w:r w:rsidRPr="007C5937">
        <w:rPr>
          <w:bCs/>
          <w:szCs w:val="22"/>
        </w:rPr>
        <w:t xml:space="preserve">: heroic faith and faithlessness in Ovid’s exile poetry’, </w:t>
      </w:r>
      <w:r w:rsidRPr="007C5937">
        <w:rPr>
          <w:bCs/>
        </w:rPr>
        <w:t xml:space="preserve">in L. </w:t>
      </w:r>
      <w:proofErr w:type="spellStart"/>
      <w:r w:rsidRPr="007C5937">
        <w:rPr>
          <w:bCs/>
        </w:rPr>
        <w:t>Langerwerf</w:t>
      </w:r>
      <w:proofErr w:type="spellEnd"/>
      <w:r w:rsidRPr="007C5937">
        <w:rPr>
          <w:bCs/>
        </w:rPr>
        <w:t xml:space="preserve"> and C. Ryan eds. </w:t>
      </w:r>
      <w:r>
        <w:rPr>
          <w:bCs/>
          <w:i/>
        </w:rPr>
        <w:t>Zero to H</w:t>
      </w:r>
      <w:r w:rsidRPr="007C5937">
        <w:rPr>
          <w:bCs/>
          <w:i/>
        </w:rPr>
        <w:t xml:space="preserve">ero, </w:t>
      </w:r>
      <w:r>
        <w:rPr>
          <w:bCs/>
          <w:i/>
        </w:rPr>
        <w:t>Hero to Zero: in search of the c</w:t>
      </w:r>
      <w:r w:rsidRPr="007C5937">
        <w:rPr>
          <w:bCs/>
          <w:i/>
        </w:rPr>
        <w:t>lassical hero</w:t>
      </w:r>
      <w:r w:rsidRPr="007C5937">
        <w:rPr>
          <w:bCs/>
        </w:rPr>
        <w:t xml:space="preserve"> (Cam</w:t>
      </w:r>
      <w:r w:rsidR="00D3642E">
        <w:rPr>
          <w:bCs/>
        </w:rPr>
        <w:t>bridge Scholars Publishing</w:t>
      </w:r>
      <w:r>
        <w:rPr>
          <w:bCs/>
        </w:rPr>
        <w:t xml:space="preserve"> 2010</w:t>
      </w:r>
      <w:r w:rsidRPr="007C5937">
        <w:rPr>
          <w:bCs/>
        </w:rPr>
        <w:t>)</w:t>
      </w:r>
      <w:r>
        <w:rPr>
          <w:bCs/>
        </w:rPr>
        <w:t xml:space="preserve"> 73-95</w:t>
      </w:r>
    </w:p>
    <w:p w14:paraId="2B1A1C37" w14:textId="77777777" w:rsidR="00AF1C04" w:rsidRDefault="00AF1C04" w:rsidP="00AF1C04">
      <w:pPr>
        <w:rPr>
          <w:bCs/>
          <w:szCs w:val="22"/>
        </w:rPr>
      </w:pPr>
    </w:p>
    <w:p w14:paraId="23B9392F" w14:textId="77777777" w:rsidR="00AF1C04" w:rsidRPr="00625B9B" w:rsidRDefault="00AF1C04" w:rsidP="00AF1C04">
      <w:pPr>
        <w:rPr>
          <w:bCs/>
          <w:szCs w:val="22"/>
        </w:rPr>
      </w:pPr>
      <w:r>
        <w:rPr>
          <w:bCs/>
          <w:szCs w:val="22"/>
        </w:rPr>
        <w:t xml:space="preserve">‘Catullus and the tragedy of Ariadne’, </w:t>
      </w:r>
      <w:proofErr w:type="spellStart"/>
      <w:r>
        <w:rPr>
          <w:bCs/>
          <w:i/>
          <w:szCs w:val="22"/>
        </w:rPr>
        <w:t>Mosaïque</w:t>
      </w:r>
      <w:proofErr w:type="spellEnd"/>
      <w:r>
        <w:rPr>
          <w:bCs/>
          <w:szCs w:val="22"/>
        </w:rPr>
        <w:t xml:space="preserve"> 1 (2009) [online publication at </w:t>
      </w:r>
      <w:r w:rsidRPr="00625B9B">
        <w:rPr>
          <w:bCs/>
          <w:szCs w:val="22"/>
        </w:rPr>
        <w:t>http://revuemosaique.net/</w:t>
      </w:r>
      <w:r>
        <w:rPr>
          <w:bCs/>
          <w:szCs w:val="22"/>
        </w:rPr>
        <w:t>]</w:t>
      </w:r>
    </w:p>
    <w:p w14:paraId="13D37354" w14:textId="77777777" w:rsidR="00BE4EF0" w:rsidRDefault="00BE4EF0" w:rsidP="00BE4EF0">
      <w:pPr>
        <w:rPr>
          <w:b/>
        </w:rPr>
      </w:pPr>
    </w:p>
    <w:p w14:paraId="31FC1A49" w14:textId="77777777" w:rsidR="00DA4E92" w:rsidRDefault="00DA4E92" w:rsidP="00DA4E92">
      <w:pPr>
        <w:rPr>
          <w:bCs/>
        </w:rPr>
      </w:pPr>
      <w:r w:rsidRPr="00075D25">
        <w:rPr>
          <w:bCs/>
        </w:rPr>
        <w:t>‘</w:t>
      </w:r>
      <w:r>
        <w:rPr>
          <w:bCs/>
        </w:rPr>
        <w:t>Verbal arithmetic’</w:t>
      </w:r>
      <w:r w:rsidRPr="00075D25">
        <w:rPr>
          <w:bCs/>
        </w:rPr>
        <w:t>,</w:t>
      </w:r>
      <w:r>
        <w:rPr>
          <w:bCs/>
        </w:rPr>
        <w:t xml:space="preserve"> r</w:t>
      </w:r>
      <w:r w:rsidRPr="007071DF">
        <w:rPr>
          <w:bCs/>
        </w:rPr>
        <w:t>eview</w:t>
      </w:r>
      <w:r w:rsidRPr="007C5937">
        <w:rPr>
          <w:bCs/>
        </w:rPr>
        <w:t xml:space="preserve"> of K. Volk, </w:t>
      </w:r>
      <w:r>
        <w:rPr>
          <w:bCs/>
          <w:i/>
        </w:rPr>
        <w:t>Manilius and his Intellectual B</w:t>
      </w:r>
      <w:r w:rsidRPr="007C5937">
        <w:rPr>
          <w:bCs/>
          <w:i/>
        </w:rPr>
        <w:t>ackground</w:t>
      </w:r>
      <w:r w:rsidR="00D3642E">
        <w:rPr>
          <w:bCs/>
        </w:rPr>
        <w:t xml:space="preserve"> (OUP</w:t>
      </w:r>
      <w:r w:rsidRPr="007C5937">
        <w:rPr>
          <w:bCs/>
        </w:rPr>
        <w:t xml:space="preserve"> 2009), </w:t>
      </w:r>
      <w:r w:rsidRPr="007C5937">
        <w:rPr>
          <w:bCs/>
          <w:i/>
        </w:rPr>
        <w:t>TLS</w:t>
      </w:r>
      <w:r w:rsidRPr="007C5937">
        <w:rPr>
          <w:bCs/>
        </w:rPr>
        <w:t xml:space="preserve"> </w:t>
      </w:r>
      <w:r>
        <w:rPr>
          <w:bCs/>
        </w:rPr>
        <w:t>2 October</w:t>
      </w:r>
      <w:r w:rsidRPr="007C5937">
        <w:rPr>
          <w:bCs/>
        </w:rPr>
        <w:t xml:space="preserve"> 2009</w:t>
      </w:r>
    </w:p>
    <w:p w14:paraId="2F8921E9" w14:textId="77777777" w:rsidR="007071DF" w:rsidRDefault="007071DF" w:rsidP="007071DF">
      <w:pPr>
        <w:rPr>
          <w:bCs/>
          <w:szCs w:val="22"/>
        </w:rPr>
      </w:pPr>
    </w:p>
    <w:p w14:paraId="389F5CA8" w14:textId="72468EF0" w:rsidR="00360903" w:rsidRPr="00232003" w:rsidRDefault="007071DF" w:rsidP="00360903">
      <w:pPr>
        <w:rPr>
          <w:bCs/>
          <w:szCs w:val="22"/>
        </w:rPr>
      </w:pPr>
      <w:r w:rsidRPr="007C5937">
        <w:rPr>
          <w:bCs/>
          <w:szCs w:val="22"/>
        </w:rPr>
        <w:t xml:space="preserve">‘Like the hero’, review of A.M. </w:t>
      </w:r>
      <w:proofErr w:type="spellStart"/>
      <w:r w:rsidRPr="007C5937">
        <w:rPr>
          <w:bCs/>
          <w:szCs w:val="22"/>
        </w:rPr>
        <w:t>Juster</w:t>
      </w:r>
      <w:proofErr w:type="spellEnd"/>
      <w:r w:rsidRPr="007C5937">
        <w:rPr>
          <w:bCs/>
          <w:szCs w:val="22"/>
        </w:rPr>
        <w:t xml:space="preserve"> (translator), </w:t>
      </w:r>
      <w:r w:rsidRPr="007C5937">
        <w:rPr>
          <w:bCs/>
          <w:i/>
          <w:szCs w:val="22"/>
        </w:rPr>
        <w:t>The Satires of Horace</w:t>
      </w:r>
      <w:r w:rsidRPr="007C5937">
        <w:rPr>
          <w:bCs/>
          <w:szCs w:val="22"/>
        </w:rPr>
        <w:t xml:space="preserve"> (U</w:t>
      </w:r>
      <w:r w:rsidR="00D3642E">
        <w:rPr>
          <w:bCs/>
          <w:szCs w:val="22"/>
        </w:rPr>
        <w:t>niversity of Pennsylvania Press</w:t>
      </w:r>
      <w:r w:rsidRPr="007C5937">
        <w:rPr>
          <w:bCs/>
          <w:szCs w:val="22"/>
        </w:rPr>
        <w:t xml:space="preserve"> 2008), </w:t>
      </w:r>
      <w:r w:rsidRPr="007C5937">
        <w:rPr>
          <w:bCs/>
          <w:i/>
          <w:szCs w:val="22"/>
        </w:rPr>
        <w:t>TLS</w:t>
      </w:r>
      <w:r w:rsidRPr="007C5937">
        <w:rPr>
          <w:bCs/>
          <w:szCs w:val="22"/>
        </w:rPr>
        <w:t xml:space="preserve"> 29 April 2009</w:t>
      </w:r>
    </w:p>
    <w:sectPr w:rsidR="00360903" w:rsidRPr="00232003" w:rsidSect="00847997">
      <w:pgSz w:w="11900" w:h="16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lkaios">
    <w:panose1 w:val="00000400000000000000"/>
    <w:charset w:val="4D"/>
    <w:family w:val="auto"/>
    <w:pitch w:val="variable"/>
    <w:sig w:usb0="E00002EF" w:usb1="1000E0EA" w:usb2="00000000" w:usb3="00000000" w:csb0="8000009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DF"/>
    <w:rsid w:val="00002D44"/>
    <w:rsid w:val="00073A52"/>
    <w:rsid w:val="000815F9"/>
    <w:rsid w:val="000855FA"/>
    <w:rsid w:val="000E0765"/>
    <w:rsid w:val="001027DD"/>
    <w:rsid w:val="001149EA"/>
    <w:rsid w:val="00117251"/>
    <w:rsid w:val="00122618"/>
    <w:rsid w:val="001263CF"/>
    <w:rsid w:val="00143039"/>
    <w:rsid w:val="0018389D"/>
    <w:rsid w:val="001F3D6F"/>
    <w:rsid w:val="00232003"/>
    <w:rsid w:val="00323C29"/>
    <w:rsid w:val="00346F43"/>
    <w:rsid w:val="00360903"/>
    <w:rsid w:val="00367092"/>
    <w:rsid w:val="00367BCD"/>
    <w:rsid w:val="003765E9"/>
    <w:rsid w:val="003A519C"/>
    <w:rsid w:val="004365BB"/>
    <w:rsid w:val="004C428B"/>
    <w:rsid w:val="004E40D3"/>
    <w:rsid w:val="004F7785"/>
    <w:rsid w:val="005D47DA"/>
    <w:rsid w:val="005F7B7E"/>
    <w:rsid w:val="00625B9B"/>
    <w:rsid w:val="00675125"/>
    <w:rsid w:val="006858E2"/>
    <w:rsid w:val="00686611"/>
    <w:rsid w:val="006E281D"/>
    <w:rsid w:val="00703A09"/>
    <w:rsid w:val="007071DF"/>
    <w:rsid w:val="0071000D"/>
    <w:rsid w:val="00732EDA"/>
    <w:rsid w:val="00734864"/>
    <w:rsid w:val="0074641A"/>
    <w:rsid w:val="007814BD"/>
    <w:rsid w:val="007C0853"/>
    <w:rsid w:val="007E2E75"/>
    <w:rsid w:val="007E4EA1"/>
    <w:rsid w:val="007F6C5A"/>
    <w:rsid w:val="00801719"/>
    <w:rsid w:val="008353E3"/>
    <w:rsid w:val="00847997"/>
    <w:rsid w:val="00860163"/>
    <w:rsid w:val="00877312"/>
    <w:rsid w:val="0088461E"/>
    <w:rsid w:val="008E064C"/>
    <w:rsid w:val="008E6991"/>
    <w:rsid w:val="008F01DE"/>
    <w:rsid w:val="00915C1E"/>
    <w:rsid w:val="00950DBE"/>
    <w:rsid w:val="00970E40"/>
    <w:rsid w:val="009B113C"/>
    <w:rsid w:val="009C5087"/>
    <w:rsid w:val="009D14F4"/>
    <w:rsid w:val="009E78B6"/>
    <w:rsid w:val="009F0CE9"/>
    <w:rsid w:val="00A03F36"/>
    <w:rsid w:val="00A06083"/>
    <w:rsid w:val="00A07363"/>
    <w:rsid w:val="00A1124D"/>
    <w:rsid w:val="00A13B47"/>
    <w:rsid w:val="00A77141"/>
    <w:rsid w:val="00AF1C04"/>
    <w:rsid w:val="00BE4EF0"/>
    <w:rsid w:val="00C00970"/>
    <w:rsid w:val="00C34E2E"/>
    <w:rsid w:val="00C362C1"/>
    <w:rsid w:val="00C4545A"/>
    <w:rsid w:val="00C6697E"/>
    <w:rsid w:val="00C6718B"/>
    <w:rsid w:val="00CC2323"/>
    <w:rsid w:val="00D3642E"/>
    <w:rsid w:val="00DA4E92"/>
    <w:rsid w:val="00DB5217"/>
    <w:rsid w:val="00DC6684"/>
    <w:rsid w:val="00DF734F"/>
    <w:rsid w:val="00E11B6D"/>
    <w:rsid w:val="00E37865"/>
    <w:rsid w:val="00EA0031"/>
    <w:rsid w:val="00EA3486"/>
    <w:rsid w:val="00EF46EF"/>
    <w:rsid w:val="00F9229E"/>
    <w:rsid w:val="00FB04A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CC31C0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B3CF2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1920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4662"/>
    <w:pPr>
      <w:keepNext/>
      <w:keepLines/>
      <w:outlineLvl w:val="1"/>
    </w:pPr>
    <w:rPr>
      <w:rFonts w:asciiTheme="majorHAnsi" w:eastAsiaTheme="majorEastAsia" w:hAnsiTheme="majorHAnsi" w:cstheme="majorBidi"/>
      <w:b/>
      <w:bCs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4662"/>
    <w:pPr>
      <w:keepNext/>
      <w:keepLines/>
      <w:outlineLvl w:val="2"/>
    </w:pPr>
    <w:rPr>
      <w:rFonts w:ascii="Book Antiqua" w:eastAsiaTheme="majorEastAsia" w:hAnsi="Book Antiqua" w:cstheme="majorBidi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98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986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31920"/>
    <w:rPr>
      <w:rFonts w:asciiTheme="majorHAnsi" w:eastAsiaTheme="majorEastAsia" w:hAnsiTheme="majorHAnsi" w:cstheme="majorBidi"/>
      <w:b/>
      <w:bCs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5F4662"/>
    <w:rPr>
      <w:rFonts w:asciiTheme="majorHAnsi" w:eastAsiaTheme="majorEastAsia" w:hAnsiTheme="majorHAnsi" w:cstheme="majorBidi"/>
      <w:b/>
      <w:bCs/>
      <w:szCs w:val="26"/>
      <w:lang w:eastAsia="ja-JP"/>
    </w:rPr>
  </w:style>
  <w:style w:type="paragraph" w:customStyle="1" w:styleId="BodyText1">
    <w:name w:val="Body Text1"/>
    <w:basedOn w:val="Normal"/>
    <w:autoRedefine/>
    <w:qFormat/>
    <w:rsid w:val="00A67FC9"/>
    <w:rPr>
      <w:rFonts w:asciiTheme="minorHAnsi" w:eastAsia="MS Mincho" w:hAnsiTheme="minorHAnsi" w:cs="Times New Roman"/>
      <w:sz w:val="22"/>
      <w:szCs w:val="20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5F4662"/>
    <w:rPr>
      <w:rFonts w:ascii="Book Antiqua" w:eastAsiaTheme="majorEastAsia" w:hAnsi="Book Antiqua" w:cstheme="majorBidi"/>
      <w:b/>
      <w:bCs/>
      <w:sz w:val="22"/>
    </w:rPr>
  </w:style>
  <w:style w:type="character" w:customStyle="1" w:styleId="apple-converted-space">
    <w:name w:val="apple-converted-space"/>
    <w:basedOn w:val="DefaultParagraphFont"/>
    <w:rsid w:val="00102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1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College, Oxford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Trimble</dc:creator>
  <cp:keywords/>
  <cp:lastModifiedBy>Gail Trimble</cp:lastModifiedBy>
  <cp:revision>3</cp:revision>
  <cp:lastPrinted>2012-09-18T17:12:00Z</cp:lastPrinted>
  <dcterms:created xsi:type="dcterms:W3CDTF">2020-09-04T08:35:00Z</dcterms:created>
  <dcterms:modified xsi:type="dcterms:W3CDTF">2020-09-04T08:36:00Z</dcterms:modified>
</cp:coreProperties>
</file>